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ECFC5F">
      <w:pPr>
        <w:keepNext w:val="0"/>
        <w:keepLines w:val="0"/>
        <w:pageBreakBefore w:val="0"/>
        <w:widowControl w:val="0"/>
        <w:kinsoku/>
        <w:wordWrap/>
        <w:overflowPunct/>
        <w:topLinePunct w:val="0"/>
        <w:autoSpaceDE/>
        <w:autoSpaceDN/>
        <w:bidi w:val="0"/>
        <w:adjustRightInd/>
        <w:snapToGrid/>
        <w:spacing w:after="157" w:afterLines="50" w:line="560" w:lineRule="exact"/>
        <w:ind w:firstLine="880" w:firstLineChars="200"/>
        <w:jc w:val="both"/>
        <w:textAlignment w:val="auto"/>
        <w:rPr>
          <w:rFonts w:hint="eastAsia" w:ascii="Times New Roman" w:hAnsi="Times New Roman" w:eastAsia="方正小标宋简体" w:cs="Times New Roman"/>
          <w:b w:val="0"/>
          <w:bCs w:val="0"/>
          <w:sz w:val="44"/>
          <w:szCs w:val="44"/>
        </w:rPr>
      </w:pPr>
      <w:bookmarkStart w:id="0" w:name="_GoBack"/>
      <w:bookmarkEnd w:id="0"/>
      <w:r>
        <w:rPr>
          <w:rFonts w:hint="eastAsia" w:ascii="Times New Roman" w:hAnsi="Times New Roman" w:eastAsia="方正小标宋简体" w:cs="Times New Roman"/>
          <w:b w:val="0"/>
          <w:bCs w:val="0"/>
          <w:sz w:val="44"/>
          <w:szCs w:val="44"/>
        </w:rPr>
        <w:t>昆区应急管理局</w:t>
      </w:r>
      <w:r>
        <w:rPr>
          <w:rFonts w:hint="eastAsia" w:ascii="Times New Roman" w:hAnsi="Times New Roman" w:eastAsia="方正小标宋简体" w:cs="Times New Roman"/>
          <w:b w:val="0"/>
          <w:bCs w:val="0"/>
          <w:sz w:val="44"/>
          <w:szCs w:val="44"/>
          <w:lang w:val="en-US" w:eastAsia="zh-CN"/>
        </w:rPr>
        <w:t>2025年度</w:t>
      </w:r>
      <w:r>
        <w:rPr>
          <w:rFonts w:hint="eastAsia" w:ascii="Times New Roman" w:hAnsi="Times New Roman" w:eastAsia="方正小标宋简体" w:cs="Times New Roman"/>
          <w:b w:val="0"/>
          <w:bCs w:val="0"/>
          <w:sz w:val="44"/>
          <w:szCs w:val="44"/>
        </w:rPr>
        <w:t>法</w:t>
      </w:r>
      <w:r>
        <w:rPr>
          <w:rFonts w:hint="eastAsia" w:ascii="Times New Roman" w:hAnsi="Times New Roman" w:eastAsia="方正小标宋简体" w:cs="Times New Roman"/>
          <w:b w:val="0"/>
          <w:bCs w:val="0"/>
          <w:sz w:val="44"/>
          <w:szCs w:val="44"/>
          <w:lang w:val="en-US" w:eastAsia="zh-CN"/>
        </w:rPr>
        <w:t>治</w:t>
      </w:r>
      <w:r>
        <w:rPr>
          <w:rFonts w:hint="eastAsia" w:ascii="Times New Roman" w:hAnsi="Times New Roman" w:eastAsia="方正小标宋简体" w:cs="Times New Roman"/>
          <w:b w:val="0"/>
          <w:bCs w:val="0"/>
          <w:sz w:val="44"/>
          <w:szCs w:val="44"/>
        </w:rPr>
        <w:t>政府</w:t>
      </w:r>
    </w:p>
    <w:p w14:paraId="5C055CEA">
      <w:pPr>
        <w:keepNext w:val="0"/>
        <w:keepLines w:val="0"/>
        <w:pageBreakBefore w:val="0"/>
        <w:widowControl w:val="0"/>
        <w:kinsoku/>
        <w:wordWrap/>
        <w:overflowPunct/>
        <w:topLinePunct w:val="0"/>
        <w:autoSpaceDE/>
        <w:autoSpaceDN/>
        <w:bidi w:val="0"/>
        <w:adjustRightInd/>
        <w:snapToGrid/>
        <w:spacing w:after="157" w:afterLines="50" w:line="560" w:lineRule="exact"/>
        <w:jc w:val="center"/>
        <w:textAlignment w:val="auto"/>
        <w:rPr>
          <w:rFonts w:hint="default" w:ascii="宋体" w:hAnsi="宋体"/>
          <w:b/>
          <w:bCs/>
          <w:sz w:val="48"/>
          <w:szCs w:val="48"/>
          <w:lang w:val="en-US" w:eastAsia="zh-CN"/>
        </w:rPr>
      </w:pPr>
      <w:r>
        <w:rPr>
          <w:rFonts w:hint="eastAsia" w:ascii="Times New Roman" w:hAnsi="Times New Roman" w:eastAsia="方正小标宋简体" w:cs="Times New Roman"/>
          <w:b w:val="0"/>
          <w:bCs w:val="0"/>
          <w:sz w:val="44"/>
          <w:szCs w:val="44"/>
        </w:rPr>
        <w:t>建设</w:t>
      </w:r>
      <w:r>
        <w:rPr>
          <w:rFonts w:hint="eastAsia" w:ascii="Times New Roman" w:hAnsi="Times New Roman" w:eastAsia="方正小标宋简体" w:cs="Times New Roman"/>
          <w:b w:val="0"/>
          <w:bCs w:val="0"/>
          <w:sz w:val="44"/>
          <w:szCs w:val="44"/>
          <w:lang w:val="en-US" w:eastAsia="zh-CN"/>
        </w:rPr>
        <w:t>情况的报告</w:t>
      </w:r>
    </w:p>
    <w:p w14:paraId="41B71389">
      <w:pPr>
        <w:keepNext w:val="0"/>
        <w:keepLines w:val="0"/>
        <w:pageBreakBefore w:val="0"/>
        <w:widowControl/>
        <w:kinsoku/>
        <w:wordWrap/>
        <w:overflowPunct/>
        <w:topLinePunct w:val="0"/>
        <w:autoSpaceDE w:val="0"/>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昆区应急管理局按照《</w:t>
      </w:r>
      <w:r>
        <w:rPr>
          <w:rFonts w:hint="eastAsia" w:ascii="Times New Roman" w:hAnsi="Times New Roman" w:eastAsia="仿宋_GB2312" w:cs="Times New Roman"/>
          <w:color w:val="000000"/>
          <w:sz w:val="32"/>
          <w:szCs w:val="32"/>
          <w:lang w:val="en-US" w:eastAsia="zh-CN"/>
        </w:rPr>
        <w:t>法治政府建设与责任落实督察工作规定</w:t>
      </w:r>
      <w:r>
        <w:rPr>
          <w:rFonts w:hint="eastAsia" w:ascii="Times New Roman" w:hAnsi="Times New Roman" w:eastAsia="仿宋_GB2312" w:cs="Times New Roman"/>
          <w:color w:val="000000"/>
          <w:sz w:val="32"/>
          <w:szCs w:val="32"/>
        </w:rPr>
        <w:t>》要求认真梳理，完成如下工作：</w:t>
      </w:r>
    </w:p>
    <w:p w14:paraId="793DB085">
      <w:pPr>
        <w:keepNext w:val="0"/>
        <w:keepLines w:val="0"/>
        <w:pageBreakBefore w:val="0"/>
        <w:kinsoku/>
        <w:wordWrap/>
        <w:overflowPunct/>
        <w:topLinePunct w:val="0"/>
        <w:autoSpaceDE/>
        <w:autoSpaceDN/>
        <w:bidi w:val="0"/>
        <w:adjustRightInd/>
        <w:snapToGrid/>
        <w:spacing w:line="560" w:lineRule="exact"/>
        <w:ind w:firstLine="643"/>
        <w:textAlignment w:val="auto"/>
        <w:rPr>
          <w:rFonts w:hint="eastAsia" w:ascii="黑体" w:hAnsi="黑体" w:eastAsia="黑体" w:cs="黑体"/>
          <w:sz w:val="32"/>
          <w:szCs w:val="32"/>
        </w:rPr>
      </w:pPr>
      <w:r>
        <w:rPr>
          <w:rFonts w:hint="eastAsia" w:ascii="黑体" w:hAnsi="黑体" w:eastAsia="黑体" w:cs="黑体"/>
          <w:sz w:val="32"/>
          <w:szCs w:val="32"/>
        </w:rPr>
        <w:t>一、推进法治政府建设的主要举措和成效</w:t>
      </w:r>
    </w:p>
    <w:p w14:paraId="2F8F2B95">
      <w:pPr>
        <w:keepNext w:val="0"/>
        <w:keepLines w:val="0"/>
        <w:pageBreakBefore w:val="0"/>
        <w:kinsoku/>
        <w:wordWrap/>
        <w:overflowPunct/>
        <w:topLinePunct w:val="0"/>
        <w:autoSpaceDE/>
        <w:autoSpaceDN/>
        <w:bidi w:val="0"/>
        <w:adjustRightInd/>
        <w:snapToGrid/>
        <w:spacing w:line="560" w:lineRule="exact"/>
        <w:ind w:firstLine="643"/>
        <w:textAlignment w:val="auto"/>
        <w:rPr>
          <w:rFonts w:hint="eastAsia" w:ascii="Times New Roman" w:hAnsi="Times New Roman" w:eastAsia="仿宋_GB2312" w:cs="Times New Roman"/>
          <w:color w:val="000000"/>
          <w:sz w:val="32"/>
          <w:szCs w:val="32"/>
        </w:rPr>
      </w:pPr>
      <w:r>
        <w:rPr>
          <w:rFonts w:hint="eastAsia" w:ascii="国标楷体" w:hAnsi="国标楷体" w:eastAsia="国标楷体" w:cs="国标楷体"/>
          <w:sz w:val="32"/>
          <w:szCs w:val="32"/>
          <w:lang w:eastAsia="zh-CN"/>
        </w:rPr>
        <w:t>（一）</w:t>
      </w:r>
      <w:r>
        <w:rPr>
          <w:rFonts w:hint="eastAsia" w:ascii="国标楷体" w:hAnsi="国标楷体" w:eastAsia="国标楷体" w:cs="国标楷体"/>
          <w:sz w:val="32"/>
          <w:szCs w:val="32"/>
        </w:rPr>
        <w:t>加强组织领导</w:t>
      </w:r>
      <w:r>
        <w:rPr>
          <w:rFonts w:hint="eastAsia" w:ascii="国标楷体" w:hAnsi="国标楷体" w:eastAsia="国标楷体" w:cs="国标楷体"/>
          <w:sz w:val="32"/>
          <w:szCs w:val="32"/>
          <w:lang w:eastAsia="zh-CN"/>
        </w:rPr>
        <w:t>。</w:t>
      </w:r>
      <w:r>
        <w:rPr>
          <w:rFonts w:hint="eastAsia" w:ascii="Times New Roman" w:hAnsi="Times New Roman" w:eastAsia="仿宋_GB2312" w:cs="Times New Roman"/>
          <w:color w:val="000000"/>
          <w:sz w:val="32"/>
          <w:szCs w:val="32"/>
        </w:rPr>
        <w:t>局党委高度重视法治政府建设工作，坚持由党政主要负责人亲自抓法治工作，各分管领导分线负责</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rPr>
        <w:t>重大行政决策均通过党委会研究，层层压实法治政府建设责任，做到职责到岗</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rPr>
        <w:t>到人，确保法治政府建设工作落地落实。</w:t>
      </w:r>
    </w:p>
    <w:p w14:paraId="13BC3CE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sz w:val="32"/>
          <w:szCs w:val="32"/>
        </w:rPr>
      </w:pPr>
      <w:r>
        <w:rPr>
          <w:rFonts w:hint="eastAsia" w:ascii="国标楷体" w:hAnsi="国标楷体" w:eastAsia="国标楷体" w:cs="国标楷体"/>
          <w:sz w:val="32"/>
          <w:szCs w:val="32"/>
          <w:lang w:eastAsia="zh-CN"/>
        </w:rPr>
        <w:t>（二）</w:t>
      </w:r>
      <w:r>
        <w:rPr>
          <w:rFonts w:hint="eastAsia" w:ascii="国标楷体" w:hAnsi="国标楷体" w:eastAsia="国标楷体" w:cs="国标楷体"/>
          <w:sz w:val="32"/>
          <w:szCs w:val="32"/>
        </w:rPr>
        <w:t>不断深化法治理论学习</w:t>
      </w:r>
      <w:r>
        <w:rPr>
          <w:rFonts w:hint="eastAsia" w:ascii="国标楷体" w:hAnsi="国标楷体" w:eastAsia="国标楷体" w:cs="国标楷体"/>
          <w:sz w:val="32"/>
          <w:szCs w:val="32"/>
          <w:lang w:eastAsia="zh-CN"/>
        </w:rPr>
        <w:t>。</w:t>
      </w:r>
      <w:r>
        <w:rPr>
          <w:rFonts w:hint="eastAsia" w:ascii="Times New Roman" w:hAnsi="Times New Roman" w:eastAsia="仿宋_GB2312" w:cs="Times New Roman"/>
          <w:color w:val="000000"/>
          <w:sz w:val="32"/>
          <w:szCs w:val="32"/>
        </w:rPr>
        <w:t>聚焦主责主业，围绕应急管理工作的新形势、新任务，开展多种形式的理论学习工作。将法治理论作为局党委会理论中心组学习内容，通过应急管理干部网络学院、</w:t>
      </w:r>
      <w:r>
        <w:rPr>
          <w:rFonts w:hint="eastAsia" w:ascii="Times New Roman" w:hAnsi="Times New Roman" w:eastAsia="仿宋_GB2312" w:cs="Times New Roman"/>
          <w:color w:val="000000"/>
          <w:sz w:val="32"/>
          <w:szCs w:val="32"/>
          <w:lang w:eastAsia="zh-CN"/>
        </w:rPr>
        <w:t>行政执法学习平台、</w:t>
      </w:r>
      <w:r>
        <w:rPr>
          <w:rFonts w:hint="eastAsia" w:ascii="Times New Roman" w:hAnsi="Times New Roman" w:eastAsia="仿宋_GB2312" w:cs="Times New Roman"/>
          <w:color w:val="000000"/>
          <w:sz w:val="32"/>
          <w:szCs w:val="32"/>
        </w:rPr>
        <w:t>学习强国等途径，开展习近平总书记关于应急管理、安全生产、森林</w:t>
      </w:r>
      <w:r>
        <w:rPr>
          <w:rFonts w:hint="eastAsia" w:ascii="Times New Roman" w:hAnsi="Times New Roman" w:eastAsia="仿宋_GB2312" w:cs="Times New Roman"/>
          <w:color w:val="000000"/>
          <w:sz w:val="32"/>
          <w:szCs w:val="32"/>
          <w:lang w:val="en-US" w:eastAsia="zh-CN"/>
        </w:rPr>
        <w:t>草原</w:t>
      </w:r>
      <w:r>
        <w:rPr>
          <w:rFonts w:hint="eastAsia" w:ascii="Times New Roman" w:hAnsi="Times New Roman" w:eastAsia="仿宋_GB2312" w:cs="Times New Roman"/>
          <w:color w:val="000000"/>
          <w:sz w:val="32"/>
          <w:szCs w:val="32"/>
        </w:rPr>
        <w:t>防灭火、防汛抗旱等工作的重要论述、指示批示精神和《</w:t>
      </w:r>
      <w:r>
        <w:rPr>
          <w:rFonts w:hint="eastAsia" w:ascii="Times New Roman" w:hAnsi="Times New Roman" w:eastAsia="仿宋_GB2312" w:cs="Times New Roman"/>
          <w:color w:val="000000"/>
          <w:sz w:val="32"/>
          <w:szCs w:val="32"/>
          <w:lang w:val="en-US" w:eastAsia="zh-CN"/>
        </w:rPr>
        <w:t>中华人民共和国</w:t>
      </w:r>
      <w:r>
        <w:rPr>
          <w:rFonts w:hint="eastAsia" w:ascii="Times New Roman" w:hAnsi="Times New Roman" w:eastAsia="仿宋_GB2312" w:cs="Times New Roman"/>
          <w:color w:val="000000"/>
          <w:sz w:val="32"/>
          <w:szCs w:val="32"/>
        </w:rPr>
        <w:t>宪法》、新修订的《</w:t>
      </w:r>
      <w:r>
        <w:rPr>
          <w:rFonts w:hint="eastAsia" w:ascii="Times New Roman" w:hAnsi="Times New Roman" w:eastAsia="仿宋_GB2312" w:cs="Times New Roman"/>
          <w:color w:val="000000"/>
          <w:sz w:val="32"/>
          <w:szCs w:val="32"/>
          <w:lang w:val="en-US" w:eastAsia="zh-CN"/>
        </w:rPr>
        <w:t>中华人民共和国</w:t>
      </w:r>
      <w:r>
        <w:rPr>
          <w:rFonts w:hint="eastAsia" w:ascii="Times New Roman" w:hAnsi="Times New Roman" w:eastAsia="仿宋_GB2312" w:cs="Times New Roman"/>
          <w:color w:val="000000"/>
          <w:sz w:val="32"/>
          <w:szCs w:val="32"/>
        </w:rPr>
        <w:t>安全生产法》《</w:t>
      </w:r>
      <w:r>
        <w:rPr>
          <w:rFonts w:hint="eastAsia" w:ascii="Times New Roman" w:hAnsi="Times New Roman" w:eastAsia="仿宋_GB2312" w:cs="Times New Roman"/>
          <w:color w:val="000000"/>
          <w:sz w:val="32"/>
          <w:szCs w:val="32"/>
          <w:lang w:val="en-US" w:eastAsia="zh-CN"/>
        </w:rPr>
        <w:t>中华人民共和国</w:t>
      </w:r>
      <w:r>
        <w:rPr>
          <w:rFonts w:hint="eastAsia" w:ascii="Times New Roman" w:hAnsi="Times New Roman" w:eastAsia="仿宋_GB2312" w:cs="Times New Roman"/>
          <w:color w:val="000000"/>
          <w:sz w:val="32"/>
          <w:szCs w:val="32"/>
        </w:rPr>
        <w:t>行政处罚法》的理论学习</w:t>
      </w:r>
      <w:r>
        <w:rPr>
          <w:rFonts w:hint="eastAsia" w:ascii="Times New Roman" w:hAnsi="Times New Roman" w:eastAsia="仿宋_GB2312" w:cs="Times New Roman"/>
          <w:color w:val="000000"/>
          <w:sz w:val="32"/>
          <w:szCs w:val="32"/>
          <w:lang w:eastAsia="zh-CN"/>
        </w:rPr>
        <w:t>，</w:t>
      </w:r>
      <w:r>
        <w:rPr>
          <w:rFonts w:hint="eastAsia" w:ascii="仿宋_GB2312" w:hAnsi="仿宋_GB2312" w:eastAsia="仿宋_GB2312" w:cs="仿宋_GB2312"/>
          <w:color w:val="auto"/>
          <w:sz w:val="32"/>
          <w:szCs w:val="32"/>
          <w:lang w:eastAsia="zh-CN"/>
        </w:rPr>
        <w:t>全年召开党委会</w:t>
      </w:r>
      <w:r>
        <w:rPr>
          <w:rFonts w:hint="default" w:ascii="Times New Roman" w:hAnsi="Times New Roman" w:eastAsia="仿宋_GB2312" w:cs="Times New Roman"/>
          <w:color w:val="auto"/>
          <w:sz w:val="32"/>
          <w:szCs w:val="32"/>
          <w:lang w:val="en-US" w:eastAsia="zh-CN"/>
        </w:rPr>
        <w:t>24</w:t>
      </w:r>
      <w:r>
        <w:rPr>
          <w:rFonts w:hint="eastAsia" w:ascii="仿宋_GB2312" w:hAnsi="仿宋_GB2312" w:eastAsia="仿宋_GB2312" w:cs="仿宋_GB2312"/>
          <w:color w:val="auto"/>
          <w:sz w:val="32"/>
          <w:szCs w:val="32"/>
          <w:lang w:eastAsia="zh-CN"/>
        </w:rPr>
        <w:t>次</w:t>
      </w:r>
      <w:r>
        <w:rPr>
          <w:rFonts w:hint="eastAsia" w:ascii="仿宋_GB2312" w:hAnsi="仿宋_GB2312" w:eastAsia="仿宋_GB2312" w:cs="仿宋_GB2312"/>
          <w:color w:val="auto"/>
          <w:sz w:val="32"/>
          <w:szCs w:val="32"/>
        </w:rPr>
        <w:t>。带头落实党委理论学习中心组学习制度，全年主持开展集中学习</w:t>
      </w:r>
      <w:r>
        <w:rPr>
          <w:rFonts w:hint="default" w:ascii="Times New Roman" w:hAnsi="Times New Roman" w:eastAsia="仿宋_GB2312" w:cs="Times New Roman"/>
          <w:color w:val="auto"/>
          <w:sz w:val="32"/>
          <w:szCs w:val="32"/>
        </w:rPr>
        <w:t>12</w:t>
      </w:r>
      <w:r>
        <w:rPr>
          <w:rFonts w:hint="eastAsia" w:ascii="仿宋_GB2312" w:hAnsi="仿宋_GB2312" w:eastAsia="仿宋_GB2312" w:cs="仿宋_GB2312"/>
          <w:color w:val="auto"/>
          <w:sz w:val="32"/>
          <w:szCs w:val="32"/>
        </w:rPr>
        <w:t>次、专题研讨</w:t>
      </w:r>
      <w:r>
        <w:rPr>
          <w:rFonts w:hint="default" w:ascii="Times New Roman" w:hAnsi="Times New Roman" w:eastAsia="仿宋_GB2312" w:cs="Times New Roman"/>
          <w:color w:val="auto"/>
          <w:sz w:val="32"/>
          <w:szCs w:val="32"/>
          <w:lang w:val="en-US" w:eastAsia="zh-CN"/>
        </w:rPr>
        <w:t>9</w:t>
      </w:r>
      <w:r>
        <w:rPr>
          <w:rFonts w:hint="eastAsia" w:ascii="仿宋_GB2312" w:hAnsi="仿宋_GB2312" w:eastAsia="仿宋_GB2312" w:cs="仿宋_GB2312"/>
          <w:color w:val="auto"/>
          <w:sz w:val="32"/>
          <w:szCs w:val="32"/>
        </w:rPr>
        <w:t>次，深入学习习近平总书记关于应急管理、安全生产、防灾减灾救灾的重要论述和重要指示批示精神</w:t>
      </w:r>
      <w:r>
        <w:rPr>
          <w:rFonts w:hint="eastAsia" w:ascii="仿宋_GB2312" w:hAnsi="仿宋_GB2312" w:eastAsia="仿宋_GB2312" w:cs="仿宋_GB2312"/>
          <w:color w:val="auto"/>
          <w:sz w:val="32"/>
          <w:szCs w:val="32"/>
          <w:lang w:eastAsia="zh-CN"/>
        </w:rPr>
        <w:t>，</w:t>
      </w:r>
      <w:r>
        <w:rPr>
          <w:rFonts w:hint="eastAsia" w:ascii="Times New Roman" w:hAnsi="Times New Roman" w:eastAsia="仿宋_GB2312" w:cs="Times New Roman"/>
          <w:color w:val="000000"/>
          <w:sz w:val="32"/>
          <w:szCs w:val="32"/>
        </w:rPr>
        <w:t>提升全局干部的法治素养和依法行政的能力和水平。</w:t>
      </w:r>
    </w:p>
    <w:p w14:paraId="7AC0ED74">
      <w:pPr>
        <w:keepNext w:val="0"/>
        <w:keepLines w:val="0"/>
        <w:pageBreakBefore w:val="0"/>
        <w:kinsoku/>
        <w:wordWrap/>
        <w:overflowPunct/>
        <w:topLinePunct w:val="0"/>
        <w:autoSpaceDE/>
        <w:autoSpaceDN/>
        <w:bidi w:val="0"/>
        <w:adjustRightInd/>
        <w:snapToGrid/>
        <w:spacing w:line="560" w:lineRule="exact"/>
        <w:ind w:firstLine="643"/>
        <w:textAlignment w:val="auto"/>
        <w:rPr>
          <w:rFonts w:hint="eastAsia" w:ascii="国标楷体" w:hAnsi="国标楷体" w:eastAsia="国标楷体" w:cs="国标楷体"/>
          <w:b w:val="0"/>
          <w:bCs w:val="0"/>
          <w:color w:val="auto"/>
          <w:sz w:val="32"/>
          <w:szCs w:val="32"/>
          <w:lang w:eastAsia="zh-CN"/>
        </w:rPr>
      </w:pPr>
      <w:r>
        <w:rPr>
          <w:rFonts w:hint="eastAsia" w:ascii="国标楷体" w:hAnsi="国标楷体" w:eastAsia="国标楷体" w:cs="国标楷体"/>
          <w:b w:val="0"/>
          <w:bCs w:val="0"/>
          <w:color w:val="auto"/>
          <w:sz w:val="32"/>
          <w:szCs w:val="32"/>
          <w:lang w:eastAsia="zh-CN"/>
        </w:rPr>
        <w:t>（三）</w:t>
      </w:r>
      <w:r>
        <w:rPr>
          <w:rFonts w:hint="eastAsia" w:ascii="国标楷体" w:hAnsi="国标楷体" w:eastAsia="国标楷体" w:cs="国标楷体"/>
          <w:b w:val="0"/>
          <w:bCs w:val="0"/>
          <w:color w:val="auto"/>
          <w:sz w:val="32"/>
          <w:szCs w:val="32"/>
        </w:rPr>
        <w:t>坚持严格规范公正文明执法</w:t>
      </w:r>
      <w:r>
        <w:rPr>
          <w:rFonts w:hint="eastAsia" w:ascii="国标楷体" w:hAnsi="国标楷体" w:eastAsia="国标楷体" w:cs="国标楷体"/>
          <w:b w:val="0"/>
          <w:bCs w:val="0"/>
          <w:color w:val="auto"/>
          <w:sz w:val="32"/>
          <w:szCs w:val="32"/>
          <w:lang w:eastAsia="zh-CN"/>
        </w:rPr>
        <w:t>。</w:t>
      </w:r>
    </w:p>
    <w:p w14:paraId="1764E4DE">
      <w:pPr>
        <w:keepNext w:val="0"/>
        <w:keepLines w:val="0"/>
        <w:pageBreakBefore w:val="0"/>
        <w:kinsoku/>
        <w:wordWrap/>
        <w:overflowPunct/>
        <w:topLinePunct w:val="0"/>
        <w:autoSpaceDE/>
        <w:autoSpaceDN/>
        <w:bidi w:val="0"/>
        <w:adjustRightInd/>
        <w:snapToGrid/>
        <w:spacing w:line="560" w:lineRule="exact"/>
        <w:ind w:firstLine="643"/>
        <w:textAlignment w:val="auto"/>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1、完善行政执法程序。</w:t>
      </w:r>
      <w:r>
        <w:rPr>
          <w:rFonts w:hint="eastAsia" w:ascii="Times New Roman" w:hAnsi="Times New Roman" w:eastAsia="仿宋_GB2312" w:cs="Times New Roman"/>
          <w:b/>
          <w:bCs/>
          <w:color w:val="000000"/>
          <w:sz w:val="32"/>
          <w:szCs w:val="32"/>
          <w:lang w:val="en-US" w:eastAsia="zh-CN"/>
        </w:rPr>
        <w:t>一是</w:t>
      </w:r>
      <w:r>
        <w:rPr>
          <w:rFonts w:hint="eastAsia" w:ascii="Times New Roman" w:hAnsi="Times New Roman" w:eastAsia="仿宋_GB2312" w:cs="Times New Roman"/>
          <w:color w:val="000000"/>
          <w:sz w:val="32"/>
          <w:szCs w:val="32"/>
        </w:rPr>
        <w:t>全面实行行政执法人员持证上岗和资格管理制度，未经执法资格考试合格，不得从事执法活动。</w:t>
      </w:r>
      <w:r>
        <w:rPr>
          <w:rFonts w:hint="eastAsia" w:ascii="Times New Roman" w:hAnsi="Times New Roman" w:eastAsia="仿宋_GB2312" w:cs="Times New Roman"/>
          <w:b/>
          <w:bCs/>
          <w:color w:val="000000"/>
          <w:sz w:val="32"/>
          <w:szCs w:val="32"/>
          <w:lang w:val="en-US" w:eastAsia="zh-CN"/>
        </w:rPr>
        <w:t>二是</w:t>
      </w:r>
      <w:r>
        <w:rPr>
          <w:rFonts w:hint="eastAsia" w:ascii="Times New Roman" w:hAnsi="Times New Roman" w:eastAsia="仿宋_GB2312" w:cs="Times New Roman"/>
          <w:b w:val="0"/>
          <w:bCs w:val="0"/>
          <w:color w:val="000000"/>
          <w:sz w:val="32"/>
          <w:szCs w:val="32"/>
          <w:lang w:val="en-US" w:eastAsia="zh-CN"/>
        </w:rPr>
        <w:t>按照</w:t>
      </w:r>
      <w:r>
        <w:rPr>
          <w:rFonts w:hint="eastAsia" w:ascii="Times New Roman" w:hAnsi="Times New Roman" w:eastAsia="仿宋_GB2312" w:cs="Times New Roman"/>
          <w:color w:val="000000"/>
          <w:sz w:val="32"/>
          <w:szCs w:val="32"/>
        </w:rPr>
        <w:t>相关法律法规要求制作</w:t>
      </w:r>
      <w:r>
        <w:rPr>
          <w:rFonts w:hint="eastAsia" w:ascii="Times New Roman" w:hAnsi="Times New Roman" w:eastAsia="仿宋_GB2312" w:cs="Times New Roman"/>
          <w:color w:val="000000"/>
          <w:sz w:val="32"/>
          <w:szCs w:val="32"/>
          <w:lang w:eastAsia="zh-CN"/>
        </w:rPr>
        <w:t>行政许可、</w:t>
      </w:r>
      <w:r>
        <w:rPr>
          <w:rFonts w:hint="eastAsia" w:ascii="Times New Roman" w:hAnsi="Times New Roman" w:eastAsia="仿宋_GB2312" w:cs="Times New Roman"/>
          <w:color w:val="000000"/>
          <w:sz w:val="32"/>
          <w:szCs w:val="32"/>
        </w:rPr>
        <w:t>行政处罚、行政强制流程图，确保程序合法。</w:t>
      </w:r>
      <w:r>
        <w:rPr>
          <w:rFonts w:hint="eastAsia" w:ascii="Times New Roman" w:hAnsi="Times New Roman" w:eastAsia="仿宋_GB2312" w:cs="Times New Roman"/>
          <w:b/>
          <w:bCs/>
          <w:color w:val="000000"/>
          <w:sz w:val="32"/>
          <w:szCs w:val="32"/>
          <w:lang w:val="en-US" w:eastAsia="zh-CN"/>
        </w:rPr>
        <w:t>三是</w:t>
      </w:r>
      <w:r>
        <w:rPr>
          <w:rFonts w:hint="eastAsia" w:ascii="Times New Roman" w:hAnsi="Times New Roman" w:eastAsia="仿宋_GB2312" w:cs="Times New Roman"/>
          <w:color w:val="000000"/>
          <w:sz w:val="32"/>
          <w:szCs w:val="32"/>
        </w:rPr>
        <w:t>完善调查取证程序，规范询问笔录，</w:t>
      </w:r>
      <w:r>
        <w:rPr>
          <w:rFonts w:hint="eastAsia" w:ascii="Times New Roman" w:hAnsi="Times New Roman" w:eastAsia="仿宋_GB2312" w:cs="Times New Roman"/>
          <w:color w:val="000000"/>
          <w:sz w:val="32"/>
          <w:szCs w:val="32"/>
          <w:lang w:eastAsia="zh-CN"/>
        </w:rPr>
        <w:t>落实</w:t>
      </w:r>
      <w:r>
        <w:rPr>
          <w:rFonts w:hint="eastAsia" w:ascii="Times New Roman" w:hAnsi="Times New Roman" w:eastAsia="仿宋_GB2312" w:cs="Times New Roman"/>
          <w:color w:val="000000"/>
          <w:sz w:val="32"/>
          <w:szCs w:val="32"/>
        </w:rPr>
        <w:t>执法全过程记录制度。</w:t>
      </w:r>
      <w:r>
        <w:rPr>
          <w:rFonts w:hint="eastAsia" w:ascii="Times New Roman" w:hAnsi="Times New Roman" w:eastAsia="仿宋_GB2312" w:cs="Times New Roman"/>
          <w:b/>
          <w:bCs/>
          <w:color w:val="000000"/>
          <w:sz w:val="32"/>
          <w:szCs w:val="32"/>
          <w:lang w:val="en-US" w:eastAsia="zh-CN"/>
        </w:rPr>
        <w:t>四是</w:t>
      </w:r>
      <w:r>
        <w:rPr>
          <w:rFonts w:hint="eastAsia" w:ascii="Times New Roman" w:hAnsi="Times New Roman" w:eastAsia="仿宋_GB2312" w:cs="Times New Roman"/>
          <w:color w:val="000000"/>
          <w:sz w:val="32"/>
          <w:szCs w:val="32"/>
          <w:lang w:val="en-US" w:eastAsia="zh-CN"/>
        </w:rPr>
        <w:t>大力推行柔性执法。积极落实自治区轻微违法行为不予行政处罚清单，制定了《昆区应急管理局不予行政处罚清单表》，对首次违法、危害轻微并及时改正的行为依法不予处罚，通过指导约谈、责令改正等方式督促整改。</w:t>
      </w:r>
      <w:r>
        <w:rPr>
          <w:rFonts w:hint="eastAsia" w:ascii="Times New Roman" w:hAnsi="Times New Roman" w:eastAsia="仿宋_GB2312" w:cs="Times New Roman"/>
          <w:b/>
          <w:bCs/>
          <w:color w:val="000000"/>
          <w:sz w:val="32"/>
          <w:szCs w:val="32"/>
          <w:lang w:val="en-US" w:eastAsia="zh-CN"/>
        </w:rPr>
        <w:t>五是</w:t>
      </w:r>
      <w:r>
        <w:rPr>
          <w:rFonts w:hint="eastAsia" w:ascii="Times New Roman" w:hAnsi="Times New Roman" w:eastAsia="仿宋_GB2312" w:cs="Times New Roman"/>
          <w:color w:val="000000"/>
          <w:sz w:val="32"/>
          <w:szCs w:val="32"/>
        </w:rPr>
        <w:t>积极发挥法律顾问作用，有效提高依法行政的水平，强化了依法行政能力，提升了合法性审查的质量。</w:t>
      </w:r>
    </w:p>
    <w:p w14:paraId="2BB720BB">
      <w:pPr>
        <w:keepNext w:val="0"/>
        <w:keepLines w:val="0"/>
        <w:pageBreakBefore w:val="0"/>
        <w:kinsoku/>
        <w:wordWrap/>
        <w:overflowPunct/>
        <w:topLinePunct w:val="0"/>
        <w:autoSpaceDE/>
        <w:autoSpaceDN/>
        <w:bidi w:val="0"/>
        <w:adjustRightInd/>
        <w:snapToGrid/>
        <w:spacing w:line="560" w:lineRule="exact"/>
        <w:ind w:firstLine="643"/>
        <w:textAlignment w:val="auto"/>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2、开展行政执法案卷评查。对一般程序行政处罚以及行政许可案卷进行随机抽取、集中评查，评估贯彻落实行政执法“三项制度”的实际情况以及执法规范化的深度和水平。进一步完善了案卷评查评分标准。</w:t>
      </w:r>
    </w:p>
    <w:p w14:paraId="46AE0E62">
      <w:pPr>
        <w:keepNext w:val="0"/>
        <w:keepLines w:val="0"/>
        <w:pageBreakBefore w:val="0"/>
        <w:kinsoku/>
        <w:wordWrap/>
        <w:overflowPunct/>
        <w:topLinePunct w:val="0"/>
        <w:autoSpaceDE/>
        <w:autoSpaceDN/>
        <w:bidi w:val="0"/>
        <w:adjustRightInd/>
        <w:snapToGrid/>
        <w:spacing w:line="560" w:lineRule="exact"/>
        <w:ind w:firstLine="643"/>
        <w:textAlignment w:val="auto"/>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3、深入推进行政执法“三项制度”。全面推行行政执法公示制度，强化事前公开，规范事中公示，加强事后公开，推动执法部门公开人员、职责、权限、依据、程序、救济渠道等信息。全面推行执法全过程记录制度，规范文字记录，推行音像记录，严格归档管理。全面推行重大执法决定法制审核制度，落实审核主体，明确审核范围、审核内容、审核责任。</w:t>
      </w:r>
      <w:r>
        <w:rPr>
          <w:rFonts w:hint="eastAsia" w:ascii="Times New Roman" w:hAnsi="Times New Roman" w:eastAsia="仿宋_GB2312" w:cs="Times New Roman"/>
          <w:color w:val="000000"/>
          <w:sz w:val="32"/>
          <w:szCs w:val="32"/>
          <w:lang w:val="en-US" w:eastAsia="zh-CN"/>
        </w:rPr>
        <w:t>深化“放管服”改革，优化审批流程，推进相对集中行政许可权，实行“双随机、一公开”监管与信用分级分类监管，落实“扫码入企”行政检查，实现执法监管数字化。</w:t>
      </w:r>
    </w:p>
    <w:p w14:paraId="3F5E0A2F">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仿宋_GB2312" w:cs="Times New Roman"/>
          <w:color w:val="000000"/>
          <w:sz w:val="32"/>
          <w:szCs w:val="32"/>
        </w:rPr>
      </w:pPr>
      <w:r>
        <w:rPr>
          <w:rFonts w:hint="eastAsia" w:ascii="国标楷体" w:hAnsi="国标楷体" w:eastAsia="国标楷体" w:cs="国标楷体"/>
          <w:sz w:val="32"/>
          <w:szCs w:val="32"/>
          <w:lang w:eastAsia="zh-CN"/>
        </w:rPr>
        <w:t>（四）</w:t>
      </w:r>
      <w:r>
        <w:rPr>
          <w:rFonts w:hint="eastAsia" w:ascii="国标楷体" w:hAnsi="国标楷体" w:eastAsia="国标楷体" w:cs="国标楷体"/>
          <w:sz w:val="32"/>
          <w:szCs w:val="32"/>
        </w:rPr>
        <w:t>将应急管理普法</w:t>
      </w:r>
      <w:r>
        <w:rPr>
          <w:rFonts w:hint="eastAsia" w:ascii="国标楷体" w:hAnsi="国标楷体" w:eastAsia="国标楷体" w:cs="国标楷体"/>
          <w:sz w:val="32"/>
          <w:szCs w:val="32"/>
          <w:lang w:eastAsia="zh-CN"/>
        </w:rPr>
        <w:t>、演练</w:t>
      </w:r>
      <w:r>
        <w:rPr>
          <w:rFonts w:hint="eastAsia" w:ascii="国标楷体" w:hAnsi="国标楷体" w:eastAsia="国标楷体" w:cs="国标楷体"/>
          <w:sz w:val="32"/>
          <w:szCs w:val="32"/>
        </w:rPr>
        <w:t>和</w:t>
      </w:r>
      <w:r>
        <w:rPr>
          <w:rFonts w:hint="eastAsia" w:ascii="国标楷体" w:hAnsi="国标楷体" w:eastAsia="国标楷体" w:cs="国标楷体"/>
          <w:sz w:val="32"/>
          <w:szCs w:val="32"/>
          <w:lang w:eastAsia="zh-CN"/>
        </w:rPr>
        <w:t>执法人员</w:t>
      </w:r>
      <w:r>
        <w:rPr>
          <w:rFonts w:hint="eastAsia" w:ascii="国标楷体" w:hAnsi="国标楷体" w:eastAsia="国标楷体" w:cs="国标楷体"/>
          <w:sz w:val="32"/>
          <w:szCs w:val="32"/>
        </w:rPr>
        <w:t>培训相结合。</w:t>
      </w:r>
      <w:r>
        <w:rPr>
          <w:rFonts w:hint="eastAsia" w:ascii="Times New Roman" w:hAnsi="Times New Roman" w:eastAsia="仿宋_GB2312" w:cs="Times New Roman"/>
          <w:color w:val="000000"/>
          <w:sz w:val="32"/>
          <w:szCs w:val="32"/>
        </w:rPr>
        <w:t>根据应急管理多职能、多条线的特点，在岁末年初、安全生产月、防灾减灾日、宪法宣传</w:t>
      </w:r>
      <w:r>
        <w:rPr>
          <w:rFonts w:hint="eastAsia" w:ascii="Times New Roman" w:hAnsi="Times New Roman" w:eastAsia="仿宋_GB2312" w:cs="Times New Roman"/>
          <w:color w:val="000000"/>
          <w:sz w:val="32"/>
          <w:szCs w:val="32"/>
          <w:lang w:val="en-US" w:eastAsia="zh-CN"/>
        </w:rPr>
        <w:t>周</w:t>
      </w:r>
      <w:r>
        <w:rPr>
          <w:rFonts w:hint="eastAsia" w:ascii="Times New Roman" w:hAnsi="Times New Roman" w:eastAsia="仿宋_GB2312" w:cs="Times New Roman"/>
          <w:color w:val="000000"/>
          <w:sz w:val="32"/>
          <w:szCs w:val="32"/>
        </w:rPr>
        <w:t>、森林火灾易发高发期、防汛期等重点时间节点，组织</w:t>
      </w:r>
      <w:r>
        <w:rPr>
          <w:rFonts w:hint="eastAsia" w:ascii="Times New Roman" w:hAnsi="Times New Roman" w:eastAsia="仿宋_GB2312" w:cs="Times New Roman"/>
          <w:color w:val="000000"/>
          <w:sz w:val="32"/>
          <w:szCs w:val="32"/>
          <w:lang w:eastAsia="zh-CN"/>
        </w:rPr>
        <w:t>执法人员</w:t>
      </w:r>
      <w:r>
        <w:rPr>
          <w:rFonts w:hint="eastAsia" w:ascii="Times New Roman" w:hAnsi="Times New Roman" w:eastAsia="仿宋_GB2312" w:cs="Times New Roman"/>
          <w:color w:val="000000"/>
          <w:sz w:val="32"/>
          <w:szCs w:val="32"/>
        </w:rPr>
        <w:t>开展“进社区、进</w:t>
      </w:r>
      <w:r>
        <w:rPr>
          <w:rFonts w:hint="eastAsia" w:ascii="Times New Roman" w:hAnsi="Times New Roman" w:eastAsia="仿宋_GB2312" w:cs="Times New Roman"/>
          <w:color w:val="000000"/>
          <w:sz w:val="32"/>
          <w:szCs w:val="32"/>
          <w:lang w:eastAsia="zh-CN"/>
        </w:rPr>
        <w:t>企业</w:t>
      </w:r>
      <w:r>
        <w:rPr>
          <w:rFonts w:hint="eastAsia" w:ascii="Times New Roman" w:hAnsi="Times New Roman" w:eastAsia="仿宋_GB2312" w:cs="Times New Roman"/>
          <w:color w:val="000000"/>
          <w:sz w:val="32"/>
          <w:szCs w:val="32"/>
        </w:rPr>
        <w:t>、进车间”等活动，发放各类宣传资料、宣传品，开展普法宣传，</w:t>
      </w:r>
      <w:r>
        <w:rPr>
          <w:rFonts w:hint="default" w:ascii="Times New Roman" w:hAnsi="Times New Roman" w:eastAsia="仿宋_GB2312" w:cs="Times New Roman"/>
          <w:color w:val="auto"/>
          <w:sz w:val="32"/>
          <w:szCs w:val="32"/>
        </w:rPr>
        <w:t>辖区企业开展应急疏散演练400余次，组织区级、街镇级及重点单位各类应急演练20余次，提升实战处置能力；</w:t>
      </w:r>
      <w:r>
        <w:rPr>
          <w:rFonts w:hint="default" w:ascii="Times New Roman" w:hAnsi="Times New Roman" w:eastAsia="仿宋_GB2312" w:cs="Times New Roman"/>
          <w:color w:val="auto"/>
          <w:sz w:val="32"/>
          <w:szCs w:val="32"/>
          <w:lang w:val="en-US" w:eastAsia="zh-CN"/>
        </w:rPr>
        <w:t>开展“安全生产月”等活动，发放宣传资料3万余份，面向社区居民普及安全知识，参与群众达5000人次；组织企业复工复产“开工第一课”15场次，培训800人次；开展村（社区）安全网格员、灾害信息员轮训2场，提升业务能力。</w:t>
      </w:r>
      <w:r>
        <w:rPr>
          <w:rFonts w:hint="eastAsia" w:ascii="Times New Roman" w:hAnsi="Times New Roman" w:eastAsia="仿宋_GB2312" w:cs="Times New Roman"/>
          <w:color w:val="000000"/>
          <w:sz w:val="32"/>
          <w:szCs w:val="32"/>
        </w:rPr>
        <w:t>全面提高全民法治意识。组织业务干部进行《行政处罚法》、《安全生产法》的专题培训讲座，以案释法，全流程解读，全面提升执法干部的业务水平。</w:t>
      </w:r>
    </w:p>
    <w:p w14:paraId="48DD39A6">
      <w:pPr>
        <w:keepNext w:val="0"/>
        <w:keepLines w:val="0"/>
        <w:pageBreakBefore w:val="0"/>
        <w:kinsoku/>
        <w:wordWrap/>
        <w:overflowPunct/>
        <w:topLinePunct w:val="0"/>
        <w:autoSpaceDE/>
        <w:autoSpaceDN/>
        <w:bidi w:val="0"/>
        <w:adjustRightInd/>
        <w:snapToGrid/>
        <w:spacing w:line="560" w:lineRule="exact"/>
        <w:ind w:firstLine="643"/>
        <w:textAlignment w:val="auto"/>
        <w:rPr>
          <w:rFonts w:hint="eastAsia" w:ascii="国标楷体" w:hAnsi="国标楷体" w:eastAsia="国标楷体" w:cs="国标楷体"/>
          <w:b w:val="0"/>
          <w:bCs w:val="0"/>
          <w:color w:val="333333"/>
          <w:sz w:val="32"/>
          <w:szCs w:val="32"/>
          <w:lang w:eastAsia="zh-CN"/>
        </w:rPr>
      </w:pPr>
      <w:r>
        <w:rPr>
          <w:rFonts w:hint="eastAsia" w:ascii="国标楷体" w:hAnsi="国标楷体" w:eastAsia="国标楷体" w:cs="国标楷体"/>
          <w:b w:val="0"/>
          <w:bCs w:val="0"/>
          <w:sz w:val="32"/>
          <w:szCs w:val="32"/>
        </w:rPr>
        <w:t>（</w:t>
      </w:r>
      <w:r>
        <w:rPr>
          <w:rFonts w:hint="eastAsia" w:ascii="国标楷体" w:hAnsi="国标楷体" w:eastAsia="国标楷体" w:cs="国标楷体"/>
          <w:b w:val="0"/>
          <w:bCs w:val="0"/>
          <w:sz w:val="32"/>
          <w:szCs w:val="32"/>
          <w:lang w:val="en-US" w:eastAsia="zh-CN"/>
        </w:rPr>
        <w:t>五</w:t>
      </w:r>
      <w:r>
        <w:rPr>
          <w:rFonts w:hint="eastAsia" w:ascii="国标楷体" w:hAnsi="国标楷体" w:eastAsia="国标楷体" w:cs="国标楷体"/>
          <w:b w:val="0"/>
          <w:bCs w:val="0"/>
          <w:sz w:val="32"/>
          <w:szCs w:val="32"/>
        </w:rPr>
        <w:t>）</w:t>
      </w:r>
      <w:r>
        <w:rPr>
          <w:rFonts w:hint="eastAsia" w:ascii="国标楷体" w:hAnsi="国标楷体" w:eastAsia="国标楷体" w:cs="国标楷体"/>
          <w:b w:val="0"/>
          <w:bCs w:val="0"/>
          <w:color w:val="333333"/>
          <w:sz w:val="32"/>
          <w:szCs w:val="32"/>
        </w:rPr>
        <w:t>依法全面履行政府职能</w:t>
      </w:r>
      <w:r>
        <w:rPr>
          <w:rFonts w:hint="eastAsia" w:ascii="国标楷体" w:hAnsi="国标楷体" w:eastAsia="国标楷体" w:cs="国标楷体"/>
          <w:b w:val="0"/>
          <w:bCs w:val="0"/>
          <w:color w:val="333333"/>
          <w:sz w:val="32"/>
          <w:szCs w:val="32"/>
          <w:lang w:eastAsia="zh-CN"/>
        </w:rPr>
        <w:t>。</w:t>
      </w:r>
    </w:p>
    <w:p w14:paraId="304937CD">
      <w:pPr>
        <w:keepNext w:val="0"/>
        <w:keepLines w:val="0"/>
        <w:pageBreakBefore w:val="0"/>
        <w:kinsoku/>
        <w:wordWrap/>
        <w:overflowPunct/>
        <w:topLinePunct w:val="0"/>
        <w:autoSpaceDE/>
        <w:autoSpaceDN/>
        <w:bidi w:val="0"/>
        <w:adjustRightInd/>
        <w:snapToGrid/>
        <w:spacing w:line="560" w:lineRule="exact"/>
        <w:ind w:firstLine="643"/>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rPr>
        <w:t>1</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rPr>
        <w:t>深化行政审批制度改革。</w:t>
      </w:r>
      <w:r>
        <w:rPr>
          <w:rFonts w:hint="eastAsia" w:ascii="Times New Roman" w:hAnsi="Times New Roman" w:eastAsia="仿宋_GB2312" w:cs="Times New Roman"/>
          <w:b/>
          <w:bCs/>
          <w:color w:val="000000"/>
          <w:sz w:val="32"/>
          <w:szCs w:val="32"/>
          <w:lang w:val="en-US" w:eastAsia="zh-CN"/>
        </w:rPr>
        <w:t>一是</w:t>
      </w:r>
      <w:r>
        <w:rPr>
          <w:rFonts w:hint="eastAsia" w:ascii="Times New Roman" w:hAnsi="Times New Roman" w:eastAsia="仿宋_GB2312" w:cs="Times New Roman"/>
          <w:color w:val="000000"/>
          <w:sz w:val="32"/>
          <w:szCs w:val="32"/>
        </w:rPr>
        <w:t>加大简政放权力度。继续做好国家、省、市取消和下放行政审批事项的落实承接工作，确保衔接到位、运转正常。</w:t>
      </w:r>
      <w:r>
        <w:rPr>
          <w:rFonts w:hint="eastAsia" w:ascii="Times New Roman" w:hAnsi="Times New Roman" w:eastAsia="仿宋_GB2312" w:cs="Times New Roman"/>
          <w:b/>
          <w:bCs/>
          <w:color w:val="000000"/>
          <w:sz w:val="32"/>
          <w:szCs w:val="32"/>
          <w:lang w:val="en-US" w:eastAsia="zh-CN"/>
        </w:rPr>
        <w:t>二是</w:t>
      </w:r>
      <w:r>
        <w:rPr>
          <w:rFonts w:hint="eastAsia" w:ascii="Times New Roman" w:hAnsi="Times New Roman" w:eastAsia="仿宋_GB2312" w:cs="Times New Roman"/>
          <w:color w:val="000000"/>
          <w:sz w:val="32"/>
          <w:szCs w:val="32"/>
        </w:rPr>
        <w:t>持续深化“放管服”改革。大力精简行政审批前置条件，根据行政审批项目取消调整情况进行动态调整。进一步优化审批流程、精简审批环节，提升行政审批综合效能。推进“不见面”审批服务便民化改革，提升“互联网+</w:t>
      </w:r>
      <w:r>
        <w:rPr>
          <w:rFonts w:hint="eastAsia" w:ascii="Times New Roman" w:hAnsi="Times New Roman" w:eastAsia="仿宋_GB2312" w:cs="Times New Roman"/>
          <w:color w:val="000000"/>
          <w:sz w:val="32"/>
          <w:szCs w:val="32"/>
          <w:lang w:eastAsia="zh-CN"/>
        </w:rPr>
        <w:t>执法</w:t>
      </w:r>
      <w:r>
        <w:rPr>
          <w:rFonts w:hint="eastAsia"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eastAsia="zh-CN"/>
        </w:rPr>
        <w:t>、“非现场执法”、“扫码入企”</w:t>
      </w:r>
      <w:r>
        <w:rPr>
          <w:rFonts w:hint="eastAsia" w:ascii="Times New Roman" w:hAnsi="Times New Roman" w:eastAsia="仿宋_GB2312" w:cs="Times New Roman"/>
          <w:color w:val="000000"/>
          <w:sz w:val="32"/>
          <w:szCs w:val="32"/>
        </w:rPr>
        <w:t>水平，建立健全政务服务标准化体系。</w:t>
      </w:r>
      <w:r>
        <w:rPr>
          <w:rFonts w:hint="eastAsia" w:ascii="Times New Roman" w:hAnsi="Times New Roman" w:eastAsia="仿宋_GB2312" w:cs="Times New Roman"/>
          <w:b/>
          <w:bCs/>
          <w:color w:val="000000"/>
          <w:sz w:val="32"/>
          <w:szCs w:val="32"/>
          <w:lang w:val="en-US" w:eastAsia="zh-CN"/>
        </w:rPr>
        <w:t>三是</w:t>
      </w:r>
      <w:r>
        <w:rPr>
          <w:rFonts w:hint="eastAsia" w:ascii="Times New Roman" w:hAnsi="Times New Roman" w:eastAsia="仿宋_GB2312" w:cs="Times New Roman"/>
          <w:color w:val="000000"/>
          <w:sz w:val="32"/>
          <w:szCs w:val="32"/>
        </w:rPr>
        <w:t>推进实施相对集中行政许可权。把依申请权力事项中分散在不同股室的其它权力事项，逐步集中在危化股，推进相对集中行政许可权工作，进一步提升行政审批效能。</w:t>
      </w:r>
      <w:r>
        <w:rPr>
          <w:rFonts w:hint="eastAsia" w:ascii="Times New Roman" w:hAnsi="Times New Roman" w:eastAsia="仿宋_GB2312" w:cs="Times New Roman"/>
          <w:color w:val="000000"/>
          <w:sz w:val="32"/>
          <w:szCs w:val="32"/>
          <w:lang w:val="en-US" w:eastAsia="zh-CN"/>
        </w:rPr>
        <w:t>全年共办理危险化学品经营（无仓储）许可59件，烟花爆竹零售许可99件，非药品类易制毒备案证明12件，应急救援预案备案167件。</w:t>
      </w:r>
    </w:p>
    <w:p w14:paraId="0E1889DD">
      <w:pPr>
        <w:keepNext w:val="0"/>
        <w:keepLines w:val="0"/>
        <w:pageBreakBefore w:val="0"/>
        <w:kinsoku/>
        <w:wordWrap/>
        <w:overflowPunct/>
        <w:topLinePunct w:val="0"/>
        <w:autoSpaceDE/>
        <w:autoSpaceDN/>
        <w:bidi w:val="0"/>
        <w:adjustRightInd/>
        <w:snapToGrid/>
        <w:spacing w:line="560" w:lineRule="exact"/>
        <w:ind w:firstLine="643"/>
        <w:textAlignment w:val="auto"/>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2</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rPr>
        <w:t>大力推行权力清单、责任清单、负面清单并实行动态管理。</w:t>
      </w:r>
      <w:r>
        <w:rPr>
          <w:rFonts w:hint="eastAsia" w:ascii="Times New Roman" w:hAnsi="Times New Roman" w:eastAsia="仿宋_GB2312" w:cs="Times New Roman"/>
          <w:b/>
          <w:bCs/>
          <w:color w:val="000000"/>
          <w:sz w:val="32"/>
          <w:szCs w:val="32"/>
          <w:lang w:val="en-US" w:eastAsia="zh-CN"/>
        </w:rPr>
        <w:t>一是</w:t>
      </w:r>
      <w:r>
        <w:rPr>
          <w:rFonts w:hint="eastAsia" w:ascii="Times New Roman" w:hAnsi="Times New Roman" w:eastAsia="仿宋_GB2312" w:cs="Times New Roman"/>
          <w:color w:val="000000"/>
          <w:sz w:val="32"/>
          <w:szCs w:val="32"/>
        </w:rPr>
        <w:t>规范权力清单、责任清单运行，按要求公布权力清单、责任清单，建立权力清单、责任清单动态管理机制，实行行政权力清单、责任清单目录化、编码化管理。</w:t>
      </w:r>
      <w:r>
        <w:rPr>
          <w:rFonts w:hint="eastAsia" w:ascii="Times New Roman" w:hAnsi="Times New Roman" w:eastAsia="仿宋_GB2312" w:cs="Times New Roman"/>
          <w:b/>
          <w:bCs/>
          <w:color w:val="000000"/>
          <w:sz w:val="32"/>
          <w:szCs w:val="32"/>
          <w:lang w:val="en-US" w:eastAsia="zh-CN"/>
        </w:rPr>
        <w:t>二是</w:t>
      </w:r>
      <w:r>
        <w:rPr>
          <w:rFonts w:hint="eastAsia" w:ascii="Times New Roman" w:hAnsi="Times New Roman" w:eastAsia="仿宋_GB2312" w:cs="Times New Roman"/>
          <w:color w:val="000000"/>
          <w:sz w:val="32"/>
          <w:szCs w:val="32"/>
        </w:rPr>
        <w:t>深入推行“双随机”抽查机制。完善“两库一平台”的“双随机”抽查机制，组织对“双随机”抽查机制运行情况进行监督检查。</w:t>
      </w:r>
      <w:r>
        <w:rPr>
          <w:rFonts w:hint="eastAsia" w:ascii="Times New Roman" w:hAnsi="Times New Roman" w:eastAsia="仿宋_GB2312" w:cs="Times New Roman"/>
          <w:b/>
          <w:bCs/>
          <w:color w:val="000000"/>
          <w:sz w:val="32"/>
          <w:szCs w:val="32"/>
          <w:lang w:val="en-US" w:eastAsia="zh-CN"/>
        </w:rPr>
        <w:t>三是</w:t>
      </w:r>
      <w:r>
        <w:rPr>
          <w:rFonts w:hint="eastAsia" w:ascii="Times New Roman" w:hAnsi="Times New Roman" w:eastAsia="仿宋_GB2312" w:cs="Times New Roman"/>
          <w:color w:val="000000"/>
          <w:sz w:val="32"/>
          <w:szCs w:val="32"/>
        </w:rPr>
        <w:t>强化监管信息公开。列出信息公开事项清单，除对权责清单、双随机信息公开外，对行政处罚、行政许可事项以及生产安全事故调查处理信息及时主动公开。</w:t>
      </w:r>
    </w:p>
    <w:p w14:paraId="6D7E6801">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333333"/>
          <w:sz w:val="32"/>
          <w:szCs w:val="32"/>
        </w:rPr>
      </w:pPr>
      <w:r>
        <w:rPr>
          <w:rFonts w:hint="eastAsia" w:ascii="国标楷体" w:hAnsi="国标楷体" w:eastAsia="国标楷体" w:cs="国标楷体"/>
          <w:color w:val="333333"/>
          <w:sz w:val="32"/>
          <w:szCs w:val="32"/>
          <w:lang w:eastAsia="zh-CN"/>
        </w:rPr>
        <w:t>（六）</w:t>
      </w:r>
      <w:r>
        <w:rPr>
          <w:rFonts w:hint="eastAsia" w:ascii="国标楷体" w:hAnsi="国标楷体" w:eastAsia="国标楷体" w:cs="国标楷体"/>
          <w:color w:val="333333"/>
          <w:sz w:val="32"/>
          <w:szCs w:val="32"/>
        </w:rPr>
        <w:t>推进行政决策科学化民主化法治化</w:t>
      </w:r>
      <w:r>
        <w:rPr>
          <w:rFonts w:hint="eastAsia" w:ascii="国标楷体" w:hAnsi="国标楷体" w:eastAsia="国标楷体" w:cs="国标楷体"/>
          <w:color w:val="333333"/>
          <w:sz w:val="32"/>
          <w:szCs w:val="32"/>
          <w:lang w:eastAsia="zh-CN"/>
        </w:rPr>
        <w:t>。</w:t>
      </w:r>
      <w:r>
        <w:rPr>
          <w:rFonts w:hint="eastAsia" w:ascii="仿宋_GB2312" w:hAnsi="仿宋_GB2312" w:eastAsia="仿宋_GB2312" w:cs="仿宋_GB2312"/>
          <w:b/>
          <w:bCs/>
          <w:sz w:val="32"/>
          <w:szCs w:val="40"/>
          <w:lang w:val="en-US" w:eastAsia="zh-CN"/>
        </w:rPr>
        <w:t>一是</w:t>
      </w:r>
      <w:r>
        <w:rPr>
          <w:rFonts w:hint="eastAsia" w:ascii="仿宋_GB2312" w:hAnsi="仿宋_GB2312" w:eastAsia="仿宋_GB2312" w:cs="仿宋_GB2312"/>
          <w:sz w:val="32"/>
          <w:szCs w:val="40"/>
          <w:lang w:val="en-US" w:eastAsia="zh-CN"/>
        </w:rPr>
        <w:t>严格执行决策程序。凡属“三重一大”事项，均提交局党委会集体讨论决定。对涉及重大公共利益的安全生产规划、风险管控政策等，严格履行公众参与、专家论证、风险评估、合法性审查和集体讨论决定等法定程序，严格遵循民主集中制，确保所有重大决策于法有据、程序正当。</w:t>
      </w:r>
      <w:r>
        <w:rPr>
          <w:rFonts w:hint="eastAsia" w:ascii="Times New Roman" w:hAnsi="Times New Roman" w:eastAsia="仿宋_GB2312" w:cs="Times New Roman"/>
          <w:b/>
          <w:bCs/>
          <w:color w:val="000000"/>
          <w:sz w:val="32"/>
          <w:szCs w:val="32"/>
          <w:lang w:val="en-US" w:eastAsia="zh-CN"/>
        </w:rPr>
        <w:t>二是</w:t>
      </w:r>
      <w:r>
        <w:rPr>
          <w:rFonts w:hint="eastAsia" w:ascii="Times New Roman" w:hAnsi="Times New Roman" w:eastAsia="仿宋_GB2312" w:cs="Times New Roman"/>
          <w:color w:val="000000"/>
          <w:sz w:val="32"/>
          <w:szCs w:val="32"/>
        </w:rPr>
        <w:t>重大决策集体讨论率达到100%。如实记录讨论情况，如实载明不同意见。局主要负责人在重大行政决策集体讨论会议上发言，并在集体讨论基础上做出决定。意见不一致的，在会上说明理由。</w:t>
      </w:r>
      <w:r>
        <w:rPr>
          <w:rFonts w:hint="eastAsia" w:ascii="Times New Roman" w:hAnsi="Times New Roman" w:eastAsia="仿宋_GB2312" w:cs="Times New Roman"/>
          <w:b/>
          <w:bCs/>
          <w:color w:val="000000"/>
          <w:sz w:val="32"/>
          <w:szCs w:val="32"/>
          <w:lang w:val="en-US" w:eastAsia="zh-CN"/>
        </w:rPr>
        <w:t>三是</w:t>
      </w:r>
      <w:r>
        <w:rPr>
          <w:rFonts w:hint="eastAsia" w:ascii="Times New Roman" w:hAnsi="Times New Roman" w:eastAsia="仿宋_GB2312" w:cs="Times New Roman"/>
          <w:color w:val="000000"/>
          <w:sz w:val="32"/>
          <w:szCs w:val="32"/>
        </w:rPr>
        <w:t>重大决策合法性审查率达到100%。重大行政决策未经合法性审查或审查不合法的，不得提交讨论，不得以征求意见等方式代替合法性审查情况，合法性审查时间不少于5个工作日。</w:t>
      </w:r>
      <w:r>
        <w:rPr>
          <w:rFonts w:hint="eastAsia" w:ascii="Times New Roman" w:hAnsi="Times New Roman" w:eastAsia="仿宋_GB2312" w:cs="Times New Roman"/>
          <w:b/>
          <w:bCs/>
          <w:color w:val="000000"/>
          <w:sz w:val="32"/>
          <w:szCs w:val="32"/>
          <w:lang w:val="en-US" w:eastAsia="zh-CN"/>
        </w:rPr>
        <w:t>四是</w:t>
      </w:r>
      <w:r>
        <w:rPr>
          <w:rFonts w:hint="eastAsia" w:ascii="Times New Roman" w:hAnsi="Times New Roman" w:eastAsia="仿宋_GB2312" w:cs="Times New Roman"/>
          <w:color w:val="000000"/>
          <w:sz w:val="32"/>
          <w:szCs w:val="32"/>
        </w:rPr>
        <w:t>深化法律顾问作用发挥。</w:t>
      </w:r>
      <w:r>
        <w:rPr>
          <w:rFonts w:hint="eastAsia" w:ascii="仿宋_GB2312" w:hAnsi="仿宋_GB2312" w:eastAsia="仿宋_GB2312" w:cs="仿宋_GB2312"/>
          <w:sz w:val="32"/>
          <w:szCs w:val="40"/>
          <w:lang w:val="en-US" w:eastAsia="zh-CN"/>
        </w:rPr>
        <w:t>聘请法律顾问并发挥公职律师作用，对重要规范性文件、重大合同协议进行合法性审查和公平竞争审查。</w:t>
      </w:r>
      <w:r>
        <w:rPr>
          <w:rFonts w:hint="eastAsia" w:ascii="Times New Roman" w:hAnsi="Times New Roman" w:eastAsia="仿宋_GB2312" w:cs="Times New Roman"/>
          <w:b/>
          <w:bCs/>
          <w:color w:val="000000"/>
          <w:sz w:val="32"/>
          <w:szCs w:val="32"/>
          <w:lang w:val="en-US" w:eastAsia="zh-CN"/>
        </w:rPr>
        <w:t>五是</w:t>
      </w:r>
      <w:r>
        <w:rPr>
          <w:rFonts w:hint="eastAsia" w:ascii="Times New Roman" w:hAnsi="Times New Roman" w:eastAsia="仿宋_GB2312" w:cs="Times New Roman"/>
          <w:color w:val="000000"/>
          <w:sz w:val="32"/>
          <w:szCs w:val="32"/>
        </w:rPr>
        <w:t>建立行政决策咨询论证专家库，为科学民主依法决策提供智力支撑。对专业性、技术性较强的决策事项，组织专家、专业机构进行论证。完善专家</w:t>
      </w:r>
      <w:r>
        <w:rPr>
          <w:rFonts w:hint="eastAsia" w:ascii="Times New Roman" w:hAnsi="Times New Roman" w:eastAsia="仿宋_GB2312" w:cs="Times New Roman"/>
          <w:color w:val="000000"/>
          <w:sz w:val="32"/>
          <w:szCs w:val="32"/>
          <w:lang w:eastAsia="zh-CN"/>
        </w:rPr>
        <w:t>评估</w:t>
      </w:r>
      <w:r>
        <w:rPr>
          <w:rFonts w:hint="eastAsia" w:ascii="Times New Roman" w:hAnsi="Times New Roman" w:eastAsia="仿宋_GB2312" w:cs="Times New Roman"/>
          <w:color w:val="000000"/>
          <w:sz w:val="32"/>
          <w:szCs w:val="32"/>
        </w:rPr>
        <w:t>机制，注重专业性、代表性、均衡性。</w:t>
      </w:r>
    </w:p>
    <w:p w14:paraId="125460A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sz w:val="32"/>
          <w:szCs w:val="32"/>
        </w:rPr>
      </w:pPr>
      <w:r>
        <w:rPr>
          <w:rFonts w:hint="eastAsia" w:ascii="国标楷体" w:hAnsi="国标楷体" w:eastAsia="国标楷体" w:cs="国标楷体"/>
          <w:b w:val="0"/>
          <w:bCs w:val="0"/>
          <w:color w:val="333333"/>
          <w:sz w:val="32"/>
          <w:szCs w:val="32"/>
        </w:rPr>
        <w:t>（</w:t>
      </w:r>
      <w:r>
        <w:rPr>
          <w:rFonts w:hint="eastAsia" w:ascii="国标楷体" w:hAnsi="国标楷体" w:eastAsia="国标楷体" w:cs="国标楷体"/>
          <w:b w:val="0"/>
          <w:bCs w:val="0"/>
          <w:color w:val="333333"/>
          <w:sz w:val="32"/>
          <w:szCs w:val="32"/>
          <w:lang w:val="en-US" w:eastAsia="zh-CN"/>
        </w:rPr>
        <w:t>七</w:t>
      </w:r>
      <w:r>
        <w:rPr>
          <w:rFonts w:hint="eastAsia" w:ascii="国标楷体" w:hAnsi="国标楷体" w:eastAsia="国标楷体" w:cs="国标楷体"/>
          <w:b w:val="0"/>
          <w:bCs w:val="0"/>
          <w:color w:val="333333"/>
          <w:sz w:val="32"/>
          <w:szCs w:val="32"/>
        </w:rPr>
        <w:t>）</w:t>
      </w:r>
      <w:r>
        <w:rPr>
          <w:rFonts w:hint="eastAsia" w:ascii="国标楷体" w:hAnsi="国标楷体" w:eastAsia="国标楷体" w:cs="国标楷体"/>
          <w:b w:val="0"/>
          <w:bCs w:val="0"/>
          <w:color w:val="000000"/>
          <w:kern w:val="0"/>
          <w:sz w:val="32"/>
          <w:szCs w:val="32"/>
        </w:rPr>
        <w:t>提升基层基础监管能力和监管水平，构建安全生产网格化监督管理体系。</w:t>
      </w:r>
      <w:r>
        <w:rPr>
          <w:rFonts w:hint="eastAsia" w:ascii="Times New Roman" w:hAnsi="Times New Roman" w:eastAsia="仿宋_GB2312" w:cs="Times New Roman"/>
          <w:color w:val="000000"/>
          <w:sz w:val="32"/>
          <w:szCs w:val="32"/>
          <w:lang w:val="en-US" w:eastAsia="zh-CN"/>
        </w:rPr>
        <w:t>从</w:t>
      </w:r>
      <w:r>
        <w:rPr>
          <w:rFonts w:hint="eastAsia" w:ascii="Times New Roman" w:hAnsi="Times New Roman" w:eastAsia="仿宋_GB2312" w:cs="Times New Roman"/>
          <w:color w:val="000000"/>
          <w:sz w:val="32"/>
          <w:szCs w:val="32"/>
        </w:rPr>
        <w:t>准确架构网格化监管框架</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rPr>
        <w:t>准确定位网格化监管责任主体</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rPr>
        <w:t>准确明晰网格各层级监管范围及职责</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rPr>
        <w:t>准确划分网格各层级监管对象</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rPr>
        <w:t>准确把握网格化监管主要任务</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rPr>
        <w:t>准确梳理网格各层级权责</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rPr>
        <w:t>准确掌握网格各层级隐患排查治理运</w:t>
      </w:r>
      <w:r>
        <w:rPr>
          <w:rFonts w:hint="eastAsia" w:ascii="Times New Roman" w:hAnsi="Times New Roman" w:eastAsia="仿宋_GB2312" w:cs="Times New Roman"/>
          <w:color w:val="000000"/>
          <w:sz w:val="32"/>
          <w:szCs w:val="32"/>
          <w:lang w:eastAsia="zh-CN"/>
        </w:rPr>
        <w:t>机制</w:t>
      </w:r>
      <w:r>
        <w:rPr>
          <w:rFonts w:hint="eastAsia" w:ascii="Times New Roman" w:hAnsi="Times New Roman" w:eastAsia="仿宋_GB2312" w:cs="Times New Roman"/>
          <w:color w:val="000000"/>
          <w:sz w:val="32"/>
          <w:szCs w:val="32"/>
          <w:lang w:val="en-US" w:eastAsia="zh-CN"/>
        </w:rPr>
        <w:t>七个方面</w:t>
      </w:r>
      <w:r>
        <w:rPr>
          <w:rFonts w:hint="eastAsia" w:ascii="Times New Roman" w:hAnsi="Times New Roman" w:eastAsia="仿宋_GB2312" w:cs="Times New Roman"/>
          <w:color w:val="000000"/>
          <w:sz w:val="32"/>
          <w:szCs w:val="32"/>
        </w:rPr>
        <w:t>。</w:t>
      </w:r>
    </w:p>
    <w:p w14:paraId="62619042">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国标楷体" w:hAnsi="国标楷体" w:eastAsia="国标楷体" w:cs="国标楷体"/>
          <w:b w:val="0"/>
          <w:bCs w:val="0"/>
          <w:color w:val="333333"/>
          <w:sz w:val="32"/>
          <w:szCs w:val="32"/>
        </w:rPr>
        <w:t>（</w:t>
      </w:r>
      <w:r>
        <w:rPr>
          <w:rFonts w:hint="eastAsia" w:ascii="国标楷体" w:hAnsi="国标楷体" w:eastAsia="国标楷体" w:cs="国标楷体"/>
          <w:b w:val="0"/>
          <w:bCs w:val="0"/>
          <w:color w:val="333333"/>
          <w:sz w:val="32"/>
          <w:szCs w:val="32"/>
          <w:lang w:val="en-US" w:eastAsia="zh-CN"/>
        </w:rPr>
        <w:t>八</w:t>
      </w:r>
      <w:r>
        <w:rPr>
          <w:rFonts w:hint="eastAsia" w:ascii="国标楷体" w:hAnsi="国标楷体" w:eastAsia="国标楷体" w:cs="国标楷体"/>
          <w:b w:val="0"/>
          <w:bCs w:val="0"/>
          <w:color w:val="333333"/>
          <w:sz w:val="32"/>
          <w:szCs w:val="32"/>
        </w:rPr>
        <w:t>）全面提高法治思维和依法行政能力</w:t>
      </w:r>
      <w:r>
        <w:rPr>
          <w:rFonts w:hint="eastAsia" w:ascii="国标楷体" w:hAnsi="国标楷体" w:eastAsia="国标楷体" w:cs="国标楷体"/>
          <w:b w:val="0"/>
          <w:bCs w:val="0"/>
          <w:color w:val="333333"/>
          <w:sz w:val="32"/>
          <w:szCs w:val="32"/>
          <w:lang w:eastAsia="zh-CN"/>
        </w:rPr>
        <w:t>。</w:t>
      </w:r>
      <w:r>
        <w:rPr>
          <w:rFonts w:hint="eastAsia" w:ascii="Times New Roman" w:hAnsi="Times New Roman" w:eastAsia="仿宋_GB2312" w:cs="Times New Roman"/>
          <w:b/>
          <w:bCs/>
          <w:color w:val="000000"/>
          <w:kern w:val="2"/>
          <w:sz w:val="32"/>
          <w:szCs w:val="32"/>
          <w:lang w:val="en-US" w:eastAsia="zh-CN" w:bidi="ar-SA"/>
        </w:rPr>
        <w:t>一是</w:t>
      </w:r>
      <w:r>
        <w:rPr>
          <w:rFonts w:hint="eastAsia" w:ascii="Times New Roman" w:hAnsi="Times New Roman" w:eastAsia="仿宋_GB2312" w:cs="Times New Roman"/>
          <w:color w:val="000000"/>
          <w:kern w:val="2"/>
          <w:sz w:val="32"/>
          <w:szCs w:val="32"/>
          <w:lang w:val="en-US" w:eastAsia="zh-CN" w:bidi="ar-SA"/>
        </w:rPr>
        <w:t>积极参加法治政府建设专题培训。部门领导班子每年至少参加2期以上法治专题讲座。</w:t>
      </w:r>
      <w:r>
        <w:rPr>
          <w:rFonts w:hint="eastAsia" w:ascii="Times New Roman" w:hAnsi="Times New Roman" w:eastAsia="仿宋_GB2312" w:cs="Times New Roman"/>
          <w:b/>
          <w:bCs/>
          <w:color w:val="000000"/>
          <w:kern w:val="2"/>
          <w:sz w:val="32"/>
          <w:szCs w:val="32"/>
          <w:lang w:val="en-US" w:eastAsia="zh-CN" w:bidi="ar-SA"/>
        </w:rPr>
        <w:t>二是</w:t>
      </w:r>
      <w:r>
        <w:rPr>
          <w:rFonts w:hint="eastAsia" w:ascii="Times New Roman" w:hAnsi="Times New Roman" w:eastAsia="仿宋_GB2312" w:cs="Times New Roman"/>
          <w:color w:val="000000"/>
          <w:kern w:val="2"/>
          <w:sz w:val="32"/>
          <w:szCs w:val="32"/>
          <w:lang w:val="en-US" w:eastAsia="zh-CN" w:bidi="ar-SA"/>
        </w:rPr>
        <w:t>强化法治宣传教育。强化《安全生产法》、《突发事件应对法》、《防震减灾法》等法律法规的宣传教育。加大宪法宣传教育力度，认真组织开展12月4日国家宪法日和12月份法治宣传月活动。</w:t>
      </w:r>
      <w:r>
        <w:rPr>
          <w:rFonts w:hint="eastAsia" w:ascii="Times New Roman" w:hAnsi="Times New Roman" w:eastAsia="仿宋_GB2312" w:cs="Times New Roman"/>
          <w:b/>
          <w:bCs/>
          <w:color w:val="000000"/>
          <w:kern w:val="2"/>
          <w:sz w:val="32"/>
          <w:szCs w:val="32"/>
          <w:lang w:val="en-US" w:eastAsia="zh-CN" w:bidi="ar-SA"/>
        </w:rPr>
        <w:t>三是</w:t>
      </w:r>
      <w:r>
        <w:rPr>
          <w:rFonts w:hint="eastAsia" w:ascii="Times New Roman" w:hAnsi="Times New Roman" w:eastAsia="仿宋_GB2312" w:cs="Times New Roman"/>
          <w:color w:val="000000"/>
          <w:kern w:val="2"/>
          <w:sz w:val="32"/>
          <w:szCs w:val="32"/>
          <w:lang w:val="en-US" w:eastAsia="zh-CN" w:bidi="ar-SA"/>
        </w:rPr>
        <w:t>健全行政执法人员岗位培训和考试制度。每年组织行政执法人员参加通用法律知识、专门法律知识、新法律法规等培训，培训时间每年不少于10天。</w:t>
      </w:r>
    </w:p>
    <w:p w14:paraId="70E2AE8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sz w:val="32"/>
          <w:szCs w:val="32"/>
          <w:lang w:val="en-US" w:eastAsia="zh-CN"/>
        </w:rPr>
      </w:pPr>
      <w:r>
        <w:rPr>
          <w:rFonts w:hint="eastAsia" w:ascii="国标楷体" w:hAnsi="国标楷体" w:eastAsia="国标楷体" w:cs="国标楷体"/>
          <w:color w:val="auto"/>
          <w:kern w:val="0"/>
          <w:sz w:val="32"/>
          <w:szCs w:val="32"/>
          <w:lang w:val="en-US" w:eastAsia="zh-CN" w:bidi="ar-SA"/>
        </w:rPr>
        <w:t>(九)制定执法计划，明确全年检查目标。</w:t>
      </w:r>
      <w:r>
        <w:rPr>
          <w:rFonts w:hint="eastAsia" w:ascii="Times New Roman" w:hAnsi="Times New Roman" w:eastAsia="仿宋_GB2312" w:cs="Times New Roman"/>
          <w:color w:val="000000"/>
          <w:sz w:val="32"/>
          <w:szCs w:val="32"/>
          <w:lang w:val="en-US" w:eastAsia="zh-CN"/>
        </w:rPr>
        <w:t>根据《中华人民共和国安全生产法》《内蒙古自治区安全生产条例》等规定，结合我区安全生产实际状况和本局实际监察执法力量，印发了《昆区应急管理局 2025年度安全生产监督检查计划》。本年度安排监督检查单位188家，其中重点检查单位113家，一般检查单位 75家。重点检查单位中金属非金属矿山企业 6家、危险化学品企业 22家、冶金等工贸企业85家。</w:t>
      </w:r>
    </w:p>
    <w:p w14:paraId="4BAF08C3">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sz w:val="32"/>
          <w:szCs w:val="32"/>
        </w:rPr>
      </w:pPr>
      <w:r>
        <w:rPr>
          <w:rFonts w:hint="eastAsia" w:ascii="国标楷体" w:hAnsi="国标楷体" w:eastAsia="国标楷体" w:cs="国标楷体"/>
          <w:color w:val="333333"/>
          <w:kern w:val="0"/>
          <w:sz w:val="32"/>
          <w:szCs w:val="32"/>
          <w:lang w:val="en-US" w:eastAsia="zh-CN" w:bidi="ar-SA"/>
        </w:rPr>
        <w:t>（十）行业监管扎实开展全区安全生产专项整治。</w:t>
      </w:r>
      <w:r>
        <w:rPr>
          <w:rFonts w:hint="eastAsia" w:ascii="仿宋_GB2312" w:hAnsi="仿宋_GB2312" w:eastAsia="仿宋_GB2312" w:cs="仿宋_GB2312"/>
          <w:b w:val="0"/>
          <w:bCs w:val="0"/>
          <w:sz w:val="32"/>
          <w:szCs w:val="32"/>
          <w:lang w:val="en-US" w:eastAsia="zh-CN"/>
        </w:rPr>
        <w:t>紧盯建筑施工、城镇燃气、电动自行车安全隐患整治、危险化学品、转租库房及“黑暗工厂”等重点行业领域专项整治。聚焦人员密集、易燃易爆、有毒有害等重点场所部位，高标准、严要求指导企业抓好安全生产工作，督促企业落实各项安全防范措施，全力抓好各项措施落实，严防各类事故发生，累计检查企业</w:t>
      </w:r>
      <w:r>
        <w:rPr>
          <w:rFonts w:hint="default" w:ascii="Times New Roman" w:hAnsi="Times New Roman" w:eastAsia="仿宋_GB2312" w:cs="Times New Roman"/>
          <w:b w:val="0"/>
          <w:bCs w:val="0"/>
          <w:sz w:val="32"/>
          <w:szCs w:val="32"/>
          <w:lang w:val="en-US" w:eastAsia="zh-CN"/>
        </w:rPr>
        <w:t>5211</w:t>
      </w:r>
      <w:r>
        <w:rPr>
          <w:rFonts w:hint="eastAsia" w:ascii="仿宋_GB2312" w:hAnsi="仿宋_GB2312" w:eastAsia="仿宋_GB2312" w:cs="仿宋_GB2312"/>
          <w:b w:val="0"/>
          <w:bCs w:val="0"/>
          <w:sz w:val="32"/>
          <w:szCs w:val="32"/>
          <w:lang w:val="en-US" w:eastAsia="zh-CN"/>
        </w:rPr>
        <w:t>户次，隐患企业</w:t>
      </w:r>
      <w:r>
        <w:rPr>
          <w:rFonts w:hint="eastAsia" w:ascii="Times New Roman" w:hAnsi="Times New Roman" w:eastAsia="仿宋_GB2312" w:cs="Times New Roman"/>
          <w:b w:val="0"/>
          <w:bCs w:val="0"/>
          <w:sz w:val="32"/>
          <w:szCs w:val="32"/>
          <w:lang w:val="en-US" w:eastAsia="zh-CN"/>
        </w:rPr>
        <w:t>1527户，发现隐患问题2844条，现已全部整改完毕。下达整改通知75份，排查厂区厂房租赁行为156家，打击“黑暗工厂”5家。</w:t>
      </w:r>
    </w:p>
    <w:p w14:paraId="137CAB0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auto"/>
          <w:kern w:val="2"/>
          <w:sz w:val="32"/>
          <w:szCs w:val="32"/>
          <w:lang w:val="en-US" w:eastAsia="zh-CN"/>
        </w:rPr>
      </w:pPr>
      <w:r>
        <w:rPr>
          <w:rFonts w:hint="eastAsia" w:ascii="楷体" w:hAnsi="楷体" w:eastAsia="楷体" w:cs="楷体"/>
          <w:b w:val="0"/>
          <w:bCs w:val="0"/>
          <w:sz w:val="32"/>
          <w:szCs w:val="32"/>
          <w:lang w:val="en-US" w:eastAsia="zh-CN"/>
        </w:rPr>
        <w:t xml:space="preserve">  </w:t>
      </w:r>
      <w:r>
        <w:rPr>
          <w:rFonts w:hint="eastAsia" w:ascii="国标楷体" w:hAnsi="国标楷体" w:eastAsia="国标楷体" w:cs="国标楷体"/>
          <w:b w:val="0"/>
          <w:bCs w:val="0"/>
          <w:sz w:val="32"/>
          <w:szCs w:val="32"/>
          <w:lang w:val="en-US" w:eastAsia="zh-CN"/>
        </w:rPr>
        <w:t xml:space="preserve"> </w:t>
      </w:r>
      <w:r>
        <w:rPr>
          <w:rFonts w:hint="eastAsia" w:ascii="国标楷体" w:hAnsi="国标楷体" w:eastAsia="国标楷体" w:cs="国标楷体"/>
          <w:b w:val="0"/>
          <w:bCs w:val="0"/>
          <w:sz w:val="32"/>
          <w:szCs w:val="32"/>
          <w:lang w:eastAsia="zh-CN"/>
        </w:rPr>
        <w:t>（</w:t>
      </w:r>
      <w:r>
        <w:rPr>
          <w:rFonts w:hint="eastAsia" w:ascii="国标楷体" w:hAnsi="国标楷体" w:eastAsia="国标楷体" w:cs="国标楷体"/>
          <w:b w:val="0"/>
          <w:bCs w:val="0"/>
          <w:sz w:val="32"/>
          <w:szCs w:val="32"/>
          <w:lang w:val="en-US" w:eastAsia="zh-CN"/>
        </w:rPr>
        <w:t>十一</w:t>
      </w:r>
      <w:r>
        <w:rPr>
          <w:rFonts w:hint="eastAsia" w:ascii="国标楷体" w:hAnsi="国标楷体" w:eastAsia="国标楷体" w:cs="国标楷体"/>
          <w:b w:val="0"/>
          <w:bCs w:val="0"/>
          <w:sz w:val="32"/>
          <w:szCs w:val="32"/>
          <w:lang w:eastAsia="zh-CN"/>
        </w:rPr>
        <w:t>）</w:t>
      </w:r>
      <w:r>
        <w:rPr>
          <w:rFonts w:hint="eastAsia" w:ascii="国标楷体" w:hAnsi="国标楷体" w:eastAsia="国标楷体" w:cs="国标楷体"/>
          <w:b w:val="0"/>
          <w:bCs w:val="0"/>
          <w:sz w:val="32"/>
          <w:szCs w:val="32"/>
        </w:rPr>
        <w:t>推</w:t>
      </w:r>
      <w:r>
        <w:rPr>
          <w:rFonts w:hint="eastAsia" w:ascii="国标楷体" w:hAnsi="国标楷体" w:eastAsia="国标楷体" w:cs="国标楷体"/>
          <w:b w:val="0"/>
          <w:bCs w:val="0"/>
          <w:sz w:val="32"/>
          <w:szCs w:val="32"/>
          <w:lang w:val="en-US" w:eastAsia="zh-CN"/>
        </w:rPr>
        <w:t>行安全生产信用分级分类监管</w:t>
      </w:r>
      <w:r>
        <w:rPr>
          <w:rFonts w:hint="eastAsia" w:ascii="国标楷体" w:hAnsi="国标楷体" w:eastAsia="国标楷体" w:cs="国标楷体"/>
          <w:b w:val="0"/>
          <w:bCs w:val="0"/>
          <w:sz w:val="32"/>
          <w:szCs w:val="32"/>
        </w:rPr>
        <w:t>。</w:t>
      </w:r>
      <w:r>
        <w:rPr>
          <w:rFonts w:hint="eastAsia" w:ascii="Times New Roman" w:hAnsi="Times New Roman" w:eastAsia="仿宋_GB2312" w:cs="Times New Roman"/>
          <w:color w:val="auto"/>
          <w:kern w:val="2"/>
          <w:sz w:val="32"/>
          <w:szCs w:val="32"/>
        </w:rPr>
        <w:t>为建立健全安全生产诚信体系，惩戒失信和激励守信，督促生产经营单位</w:t>
      </w:r>
      <w:r>
        <w:rPr>
          <w:rFonts w:hint="eastAsia" w:ascii="Times New Roman" w:hAnsi="Times New Roman" w:eastAsia="仿宋_GB2312" w:cs="Times New Roman"/>
          <w:color w:val="auto"/>
          <w:kern w:val="2"/>
          <w:sz w:val="32"/>
          <w:szCs w:val="32"/>
          <w:lang w:val="en-US" w:eastAsia="zh-CN"/>
        </w:rPr>
        <w:t>严格履行</w:t>
      </w:r>
      <w:r>
        <w:rPr>
          <w:rFonts w:hint="eastAsia" w:ascii="Times New Roman" w:hAnsi="Times New Roman" w:eastAsia="仿宋_GB2312" w:cs="Times New Roman"/>
          <w:color w:val="auto"/>
          <w:kern w:val="2"/>
          <w:sz w:val="32"/>
          <w:szCs w:val="32"/>
        </w:rPr>
        <w:t>安全生产主体责任，根据《中华人民共和国政府信息公开条例》（中华人民共和国国务院令第711号）、《企业信息公示暂行条例》（中华人民共和国国务院令第654号）、《国务院办公</w:t>
      </w:r>
      <w:r>
        <w:rPr>
          <w:rFonts w:hint="eastAsia" w:ascii="Times New Roman" w:hAnsi="Times New Roman" w:eastAsia="仿宋_GB2312" w:cs="Times New Roman"/>
          <w:color w:val="auto"/>
          <w:kern w:val="2"/>
          <w:sz w:val="32"/>
          <w:szCs w:val="32"/>
          <w:lang w:val="en-US" w:eastAsia="zh-CN"/>
        </w:rPr>
        <w:t>厅</w:t>
      </w:r>
      <w:r>
        <w:rPr>
          <w:rFonts w:hint="eastAsia" w:ascii="Times New Roman" w:hAnsi="Times New Roman" w:eastAsia="仿宋_GB2312" w:cs="Times New Roman"/>
          <w:color w:val="auto"/>
          <w:kern w:val="2"/>
          <w:sz w:val="32"/>
          <w:szCs w:val="32"/>
        </w:rPr>
        <w:t>关于加快推进社会信用体系建设构建以信用为基础的新型监管机制的指导意见》（国办发〔2019〕35号）等有关规定，</w:t>
      </w:r>
      <w:r>
        <w:rPr>
          <w:rFonts w:hint="eastAsia" w:ascii="Times New Roman" w:hAnsi="Times New Roman" w:eastAsia="仿宋_GB2312" w:cs="Times New Roman"/>
          <w:color w:val="auto"/>
          <w:kern w:val="2"/>
          <w:sz w:val="32"/>
          <w:szCs w:val="32"/>
          <w:lang w:val="en-US" w:eastAsia="zh-CN"/>
        </w:rPr>
        <w:t>我局</w:t>
      </w:r>
      <w:r>
        <w:rPr>
          <w:rFonts w:hint="eastAsia" w:ascii="Times New Roman" w:hAnsi="Times New Roman" w:eastAsia="仿宋_GB2312" w:cs="Times New Roman"/>
          <w:color w:val="auto"/>
          <w:kern w:val="2"/>
          <w:sz w:val="32"/>
          <w:szCs w:val="32"/>
        </w:rPr>
        <w:t>制定</w:t>
      </w:r>
      <w:r>
        <w:rPr>
          <w:rFonts w:hint="eastAsia" w:ascii="Times New Roman" w:hAnsi="Times New Roman" w:eastAsia="仿宋_GB2312" w:cs="Times New Roman"/>
          <w:color w:val="auto"/>
          <w:kern w:val="2"/>
          <w:sz w:val="32"/>
          <w:szCs w:val="32"/>
          <w:lang w:val="en-US" w:eastAsia="zh-CN"/>
        </w:rPr>
        <w:t>了《昆都仑区安全生产信用分类分级管理办法》，对监管企业实施分级分类监管。对监管企业实施分级分类监管对监管企业进行安全生产信用分级，以量化评分为手段，以分级分类应用为目标，由各股室分别负责管辖企业进行评分。执法大队、危化、基础、矿山共计评估企业178户。</w:t>
      </w:r>
    </w:p>
    <w:p w14:paraId="41B0CE24">
      <w:pPr>
        <w:keepNext w:val="0"/>
        <w:keepLines w:val="0"/>
        <w:pageBreakBefore w:val="0"/>
        <w:kinsoku/>
        <w:wordWrap/>
        <w:overflowPunct/>
        <w:topLinePunct w:val="0"/>
        <w:autoSpaceDE/>
        <w:autoSpaceDN/>
        <w:bidi w:val="0"/>
        <w:adjustRightInd/>
        <w:snapToGrid/>
        <w:spacing w:line="560" w:lineRule="exact"/>
        <w:ind w:firstLine="643"/>
        <w:textAlignment w:val="auto"/>
        <w:rPr>
          <w:rFonts w:hint="eastAsia" w:ascii="Times New Roman" w:hAnsi="Times New Roman" w:eastAsia="仿宋_GB2312" w:cs="Times New Roman"/>
          <w:color w:val="000000"/>
          <w:sz w:val="32"/>
          <w:szCs w:val="32"/>
        </w:rPr>
      </w:pPr>
      <w:r>
        <w:rPr>
          <w:rFonts w:hint="eastAsia" w:ascii="国标楷体" w:hAnsi="国标楷体" w:eastAsia="国标楷体" w:cs="国标楷体"/>
          <w:b w:val="0"/>
          <w:bCs w:val="0"/>
          <w:sz w:val="32"/>
          <w:szCs w:val="32"/>
          <w:lang w:eastAsia="zh-CN"/>
        </w:rPr>
        <w:t>（</w:t>
      </w:r>
      <w:r>
        <w:rPr>
          <w:rFonts w:hint="eastAsia" w:ascii="国标楷体" w:hAnsi="国标楷体" w:eastAsia="国标楷体" w:cs="国标楷体"/>
          <w:b w:val="0"/>
          <w:bCs w:val="0"/>
          <w:sz w:val="32"/>
          <w:szCs w:val="32"/>
          <w:lang w:val="en-US" w:eastAsia="zh-CN"/>
        </w:rPr>
        <w:t>十二</w:t>
      </w:r>
      <w:r>
        <w:rPr>
          <w:rFonts w:hint="eastAsia" w:ascii="国标楷体" w:hAnsi="国标楷体" w:eastAsia="国标楷体" w:cs="国标楷体"/>
          <w:b w:val="0"/>
          <w:bCs w:val="0"/>
          <w:sz w:val="32"/>
          <w:szCs w:val="32"/>
          <w:lang w:eastAsia="zh-CN"/>
        </w:rPr>
        <w:t>）</w:t>
      </w:r>
      <w:r>
        <w:rPr>
          <w:rFonts w:hint="eastAsia" w:ascii="国标楷体" w:hAnsi="国标楷体" w:eastAsia="国标楷体" w:cs="国标楷体"/>
          <w:b w:val="0"/>
          <w:bCs w:val="0"/>
          <w:sz w:val="32"/>
          <w:szCs w:val="32"/>
        </w:rPr>
        <w:t>加强非煤矿山安全管理。</w:t>
      </w:r>
      <w:r>
        <w:rPr>
          <w:rFonts w:hint="eastAsia" w:ascii="Times New Roman" w:hAnsi="Times New Roman" w:eastAsia="仿宋_GB2312" w:cs="Times New Roman"/>
          <w:color w:val="000000"/>
          <w:sz w:val="32"/>
          <w:szCs w:val="32"/>
        </w:rPr>
        <w:t>深化源头治理，关闭</w:t>
      </w:r>
      <w:r>
        <w:rPr>
          <w:rFonts w:hint="eastAsia" w:ascii="Times New Roman" w:hAnsi="Times New Roman" w:eastAsia="仿宋_GB2312" w:cs="Times New Roman"/>
          <w:color w:val="000000"/>
          <w:sz w:val="32"/>
          <w:szCs w:val="32"/>
          <w:lang w:val="en-US" w:eastAsia="zh-CN"/>
        </w:rPr>
        <w:t>1</w:t>
      </w:r>
      <w:r>
        <w:rPr>
          <w:rFonts w:hint="eastAsia" w:ascii="Times New Roman" w:hAnsi="Times New Roman" w:eastAsia="仿宋_GB2312" w:cs="Times New Roman"/>
          <w:color w:val="000000"/>
          <w:sz w:val="32"/>
          <w:szCs w:val="32"/>
          <w:lang w:eastAsia="zh-CN"/>
        </w:rPr>
        <w:t>座</w:t>
      </w:r>
      <w:r>
        <w:rPr>
          <w:rFonts w:hint="eastAsia" w:ascii="Times New Roman" w:hAnsi="Times New Roman" w:eastAsia="仿宋_GB2312" w:cs="Times New Roman"/>
          <w:color w:val="000000"/>
          <w:sz w:val="32"/>
          <w:szCs w:val="32"/>
        </w:rPr>
        <w:t>不符合安全生产条件的</w:t>
      </w:r>
      <w:r>
        <w:rPr>
          <w:rFonts w:hint="eastAsia" w:ascii="Times New Roman" w:hAnsi="Times New Roman" w:eastAsia="仿宋_GB2312" w:cs="Times New Roman"/>
          <w:color w:val="000000"/>
          <w:sz w:val="32"/>
          <w:szCs w:val="32"/>
          <w:lang w:eastAsia="zh-CN"/>
        </w:rPr>
        <w:t>尾矿库</w:t>
      </w:r>
      <w:r>
        <w:rPr>
          <w:rFonts w:hint="eastAsia" w:ascii="Times New Roman" w:hAnsi="Times New Roman" w:eastAsia="仿宋_GB2312" w:cs="Times New Roman"/>
          <w:color w:val="000000"/>
          <w:sz w:val="32"/>
          <w:szCs w:val="32"/>
        </w:rPr>
        <w:t>，确保尾矿库数量原则上进一步增强了安全防范意识，营造了人人关注安全、重视安全、参与安全的良好氛围。通过微信公众号、抖音平台，在期间推送安全知识和活动信息，在包百、维多利等人员聚集商圈利用LED显示屏等宣传载体播放安全标语知识相关内容，营造浓厚舆论氛围。</w:t>
      </w:r>
    </w:p>
    <w:p w14:paraId="2EA6378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eastAsia" w:ascii="国标楷体" w:hAnsi="国标楷体" w:eastAsia="国标楷体" w:cs="国标楷体"/>
          <w:color w:val="000000"/>
          <w:sz w:val="32"/>
          <w:szCs w:val="32"/>
          <w:lang w:eastAsia="zh-CN"/>
        </w:rPr>
        <w:t>（十三）</w:t>
      </w:r>
      <w:r>
        <w:rPr>
          <w:rFonts w:hint="eastAsia" w:ascii="国标楷体" w:hAnsi="国标楷体" w:eastAsia="国标楷体" w:cs="国标楷体"/>
          <w:color w:val="000000"/>
          <w:sz w:val="32"/>
          <w:szCs w:val="32"/>
          <w:lang w:val="en-US" w:eastAsia="zh-CN"/>
        </w:rPr>
        <w:t>提升监管执法效能，强化精准帮扶。</w:t>
      </w:r>
      <w:r>
        <w:rPr>
          <w:rFonts w:hint="eastAsia" w:ascii="Times New Roman" w:hAnsi="Times New Roman" w:eastAsia="仿宋_GB2312" w:cs="Times New Roman"/>
          <w:color w:val="000000"/>
          <w:sz w:val="32"/>
          <w:szCs w:val="32"/>
        </w:rPr>
        <w:t>通过加强安全生产监管执法严格执法强化主体责任落实，为确保工贸、危险化学品、非煤矿山行业企业安全生产各项工作措施落到实处</w:t>
      </w:r>
      <w:r>
        <w:rPr>
          <w:rFonts w:hint="eastAsia" w:ascii="Times New Roman" w:hAnsi="Times New Roman" w:eastAsia="仿宋_GB2312" w:cs="Times New Roman"/>
          <w:color w:val="000000"/>
          <w:sz w:val="32"/>
          <w:szCs w:val="32"/>
          <w:lang w:eastAsia="zh-CN"/>
        </w:rPr>
        <w:t>。</w:t>
      </w:r>
      <w:r>
        <w:rPr>
          <w:rFonts w:hint="eastAsia" w:ascii="仿宋_GB2312" w:hAnsi="仿宋_GB2312" w:eastAsia="仿宋_GB2312" w:cs="仿宋_GB2312"/>
          <w:color w:val="auto"/>
          <w:sz w:val="32"/>
          <w:szCs w:val="32"/>
          <w:lang w:val="en-US" w:eastAsia="zh-CN"/>
        </w:rPr>
        <w:t>聚焦危险化学品、冶金工贸、非煤矿山三大行业，开展精准执法与帮扶行动</w:t>
      </w:r>
      <w:r>
        <w:rPr>
          <w:rFonts w:hint="default" w:ascii="Times New Roman" w:hAnsi="Times New Roman" w:eastAsia="仿宋_GB2312" w:cs="Times New Roman"/>
          <w:color w:val="auto"/>
          <w:sz w:val="32"/>
          <w:szCs w:val="32"/>
          <w:lang w:val="en-US" w:eastAsia="zh-CN"/>
        </w:rPr>
        <w:t>，累计执法检查企业</w:t>
      </w:r>
      <w:r>
        <w:rPr>
          <w:rFonts w:hint="eastAsia" w:ascii="Times New Roman" w:hAnsi="Times New Roman" w:eastAsia="仿宋_GB2312" w:cs="Times New Roman"/>
          <w:color w:val="auto"/>
          <w:sz w:val="32"/>
          <w:szCs w:val="32"/>
          <w:lang w:val="en-US" w:eastAsia="zh-CN"/>
        </w:rPr>
        <w:t>222</w:t>
      </w:r>
      <w:r>
        <w:rPr>
          <w:rFonts w:hint="default" w:ascii="Times New Roman" w:hAnsi="Times New Roman" w:eastAsia="仿宋_GB2312" w:cs="Times New Roman"/>
          <w:color w:val="auto"/>
          <w:sz w:val="32"/>
          <w:szCs w:val="32"/>
          <w:lang w:val="en-US" w:eastAsia="zh-CN"/>
        </w:rPr>
        <w:t>户次，排查隐患</w:t>
      </w:r>
      <w:r>
        <w:rPr>
          <w:rFonts w:hint="eastAsia" w:ascii="Times New Roman" w:hAnsi="Times New Roman" w:eastAsia="仿宋_GB2312" w:cs="Times New Roman"/>
          <w:color w:val="auto"/>
          <w:sz w:val="32"/>
          <w:szCs w:val="32"/>
          <w:lang w:val="en-US" w:eastAsia="zh-CN"/>
        </w:rPr>
        <w:t>910</w:t>
      </w:r>
      <w:r>
        <w:rPr>
          <w:rFonts w:hint="default" w:ascii="Times New Roman" w:hAnsi="Times New Roman" w:eastAsia="仿宋_GB2312" w:cs="Times New Roman"/>
          <w:color w:val="auto"/>
          <w:sz w:val="32"/>
          <w:szCs w:val="32"/>
          <w:lang w:val="en-US" w:eastAsia="zh-CN"/>
        </w:rPr>
        <w:t>条，已整改</w:t>
      </w:r>
      <w:r>
        <w:rPr>
          <w:rFonts w:hint="eastAsia" w:ascii="Times New Roman" w:hAnsi="Times New Roman" w:eastAsia="仿宋_GB2312" w:cs="Times New Roman"/>
          <w:color w:val="auto"/>
          <w:sz w:val="32"/>
          <w:szCs w:val="32"/>
          <w:lang w:val="en-US" w:eastAsia="zh-CN"/>
        </w:rPr>
        <w:t>910</w:t>
      </w:r>
      <w:r>
        <w:rPr>
          <w:rFonts w:hint="default" w:ascii="Times New Roman" w:hAnsi="Times New Roman" w:eastAsia="仿宋_GB2312" w:cs="Times New Roman"/>
          <w:color w:val="auto"/>
          <w:sz w:val="32"/>
          <w:szCs w:val="32"/>
          <w:lang w:val="en-US" w:eastAsia="zh-CN"/>
        </w:rPr>
        <w:t>条，罚款</w:t>
      </w:r>
      <w:r>
        <w:rPr>
          <w:rFonts w:hint="eastAsia" w:ascii="Times New Roman" w:hAnsi="Times New Roman" w:eastAsia="仿宋_GB2312" w:cs="Times New Roman"/>
          <w:color w:val="auto"/>
          <w:sz w:val="32"/>
          <w:szCs w:val="32"/>
          <w:lang w:val="en-US" w:eastAsia="zh-CN"/>
        </w:rPr>
        <w:t>40.4</w:t>
      </w:r>
      <w:r>
        <w:rPr>
          <w:rFonts w:hint="default" w:ascii="Times New Roman" w:hAnsi="Times New Roman" w:eastAsia="仿宋_GB2312" w:cs="Times New Roman"/>
          <w:color w:val="auto"/>
          <w:sz w:val="32"/>
          <w:szCs w:val="32"/>
          <w:lang w:val="en-US" w:eastAsia="zh-CN"/>
        </w:rPr>
        <w:t>万元。推行“23456”</w:t>
      </w:r>
      <w:r>
        <w:rPr>
          <w:rFonts w:hint="default" w:ascii="Times New Roman" w:hAnsi="Times New Roman" w:eastAsia="仿宋_GB2312" w:cs="Times New Roman"/>
          <w:b w:val="0"/>
          <w:bCs w:val="0"/>
          <w:color w:val="auto"/>
          <w:sz w:val="32"/>
          <w:szCs w:val="32"/>
          <w:lang w:val="en-US" w:eastAsia="zh-CN"/>
        </w:rPr>
        <w:t>包联帮扶工作</w:t>
      </w:r>
      <w:r>
        <w:rPr>
          <w:rFonts w:hint="default" w:ascii="Times New Roman" w:hAnsi="Times New Roman" w:eastAsia="仿宋_GB2312" w:cs="Times New Roman"/>
          <w:color w:val="auto"/>
          <w:sz w:val="32"/>
          <w:szCs w:val="32"/>
          <w:lang w:val="en-US" w:eastAsia="zh-CN"/>
        </w:rPr>
        <w:t>举措，累计帮扶企业</w:t>
      </w:r>
      <w:r>
        <w:rPr>
          <w:rFonts w:hint="eastAsia" w:ascii="Times New Roman" w:hAnsi="Times New Roman" w:eastAsia="仿宋_GB2312" w:cs="Times New Roman"/>
          <w:color w:val="auto"/>
          <w:sz w:val="32"/>
          <w:szCs w:val="32"/>
          <w:lang w:val="en-US" w:eastAsia="zh-CN"/>
        </w:rPr>
        <w:t>533</w:t>
      </w:r>
      <w:r>
        <w:rPr>
          <w:rFonts w:hint="default" w:ascii="Times New Roman" w:hAnsi="Times New Roman" w:eastAsia="仿宋_GB2312" w:cs="Times New Roman"/>
          <w:color w:val="auto"/>
          <w:sz w:val="32"/>
          <w:szCs w:val="32"/>
          <w:lang w:val="en-US" w:eastAsia="zh-CN"/>
        </w:rPr>
        <w:t>户次，协助整改安全隐患</w:t>
      </w:r>
      <w:r>
        <w:rPr>
          <w:rFonts w:hint="eastAsia" w:ascii="Times New Roman" w:hAnsi="Times New Roman" w:eastAsia="仿宋_GB2312" w:cs="Times New Roman"/>
          <w:color w:val="auto"/>
          <w:sz w:val="32"/>
          <w:szCs w:val="32"/>
          <w:lang w:val="en-US" w:eastAsia="zh-CN"/>
        </w:rPr>
        <w:t>1533</w:t>
      </w:r>
      <w:r>
        <w:rPr>
          <w:rFonts w:hint="default" w:ascii="Times New Roman" w:hAnsi="Times New Roman" w:eastAsia="仿宋_GB2312" w:cs="Times New Roman"/>
          <w:color w:val="auto"/>
          <w:sz w:val="32"/>
          <w:szCs w:val="32"/>
          <w:lang w:val="en-US" w:eastAsia="zh-CN"/>
        </w:rPr>
        <w:t>条，实现监管与服务协同发力。组织开展禁燃区域、重点场所全覆盖排查，出动夜查40余次，同时，对辖区内烟花爆竹零售店开展安全隐患排查70家次，发现并完成整改隐患30条。</w:t>
      </w:r>
    </w:p>
    <w:p w14:paraId="3FC6102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color w:val="000000"/>
          <w:sz w:val="32"/>
          <w:szCs w:val="32"/>
          <w:lang w:eastAsia="zh-CN"/>
        </w:rPr>
      </w:pPr>
      <w:r>
        <w:rPr>
          <w:rFonts w:hint="eastAsia" w:ascii="国标楷体" w:hAnsi="国标楷体" w:eastAsia="国标楷体" w:cs="国标楷体"/>
          <w:b w:val="0"/>
          <w:bCs w:val="0"/>
          <w:sz w:val="32"/>
          <w:szCs w:val="32"/>
          <w:lang w:val="en-US" w:eastAsia="zh-CN"/>
        </w:rPr>
        <w:t>（十四）落实</w:t>
      </w:r>
      <w:r>
        <w:rPr>
          <w:rFonts w:hint="eastAsia" w:ascii="国标楷体" w:hAnsi="国标楷体" w:eastAsia="国标楷体" w:cs="国标楷体"/>
          <w:b w:val="0"/>
          <w:bCs w:val="0"/>
          <w:sz w:val="32"/>
          <w:szCs w:val="32"/>
          <w:lang w:eastAsia="zh-CN"/>
        </w:rPr>
        <w:t>“</w:t>
      </w:r>
      <w:r>
        <w:rPr>
          <w:rFonts w:hint="eastAsia" w:ascii="国标楷体" w:hAnsi="国标楷体" w:eastAsia="国标楷体" w:cs="国标楷体"/>
          <w:b w:val="0"/>
          <w:bCs w:val="0"/>
          <w:sz w:val="32"/>
          <w:szCs w:val="32"/>
          <w:lang w:val="en-US" w:eastAsia="zh-CN"/>
        </w:rPr>
        <w:t>扫码入企”行政检查工作</w:t>
      </w:r>
      <w:r>
        <w:rPr>
          <w:rFonts w:hint="eastAsia" w:ascii="国标楷体" w:hAnsi="国标楷体" w:eastAsia="国标楷体" w:cs="国标楷体"/>
          <w:b w:val="0"/>
          <w:bCs w:val="0"/>
          <w:sz w:val="32"/>
          <w:szCs w:val="32"/>
          <w:lang w:eastAsia="zh-CN"/>
        </w:rPr>
        <w:t>。</w:t>
      </w:r>
      <w:r>
        <w:rPr>
          <w:rFonts w:hint="eastAsia" w:ascii="仿宋_GB2312" w:hAnsi="仿宋_GB2312" w:eastAsia="仿宋_GB2312" w:cs="仿宋_GB2312"/>
          <w:sz w:val="32"/>
          <w:szCs w:val="32"/>
        </w:rPr>
        <w:t>“扫码入企”</w:t>
      </w:r>
      <w:r>
        <w:rPr>
          <w:rFonts w:hint="eastAsia" w:ascii="仿宋_GB2312" w:hAnsi="仿宋_GB2312" w:eastAsia="仿宋_GB2312" w:cs="仿宋_GB2312"/>
          <w:sz w:val="32"/>
          <w:szCs w:val="32"/>
          <w:lang w:val="en-US" w:eastAsia="zh-CN"/>
        </w:rPr>
        <w:t>是《国务院办公厅关于规范涉企行政检查的意见》中确定的一项重要工作，也是全区法治督查的一项重要内容，按照自治区统一部署，昆区应急管理局</w:t>
      </w:r>
      <w:r>
        <w:rPr>
          <w:rFonts w:hint="eastAsia" w:ascii="仿宋_GB2312" w:hAnsi="仿宋_GB2312" w:eastAsia="仿宋_GB2312" w:cs="仿宋_GB2312"/>
          <w:sz w:val="32"/>
          <w:szCs w:val="32"/>
        </w:rPr>
        <w:t>高度重视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率先实践，</w:t>
      </w:r>
      <w:r>
        <w:rPr>
          <w:rFonts w:hint="eastAsia" w:ascii="仿宋_GB2312" w:hAnsi="仿宋_GB2312" w:eastAsia="仿宋_GB2312" w:cs="仿宋_GB2312"/>
          <w:sz w:val="32"/>
          <w:szCs w:val="32"/>
        </w:rPr>
        <w:t>成立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扫码入企”</w:t>
      </w:r>
      <w:r>
        <w:rPr>
          <w:rFonts w:hint="eastAsia" w:ascii="仿宋_GB2312" w:hAnsi="仿宋_GB2312" w:eastAsia="仿宋_GB2312" w:cs="仿宋_GB2312"/>
          <w:sz w:val="32"/>
          <w:szCs w:val="32"/>
        </w:rPr>
        <w:t>工作小组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认真组织安排专人学习培训“扫码入企”系统的功能模块介绍、熟悉操作流程。涉企检查管理功能涵盖计划制定、检查方案发布、任务生成、当场检查、执法亮码及企业扫码核对全流程。我局执法人员按照2025年度执法计划</w:t>
      </w:r>
      <w:r>
        <w:rPr>
          <w:rFonts w:hint="eastAsia" w:ascii="仿宋_GB2312" w:hAnsi="仿宋_GB2312" w:eastAsia="仿宋_GB2312" w:cs="仿宋_GB2312"/>
          <w:sz w:val="32"/>
          <w:szCs w:val="32"/>
        </w:rPr>
        <w:t>制定详细的</w:t>
      </w:r>
      <w:r>
        <w:rPr>
          <w:rFonts w:hint="eastAsia" w:ascii="仿宋_GB2312" w:hAnsi="仿宋_GB2312" w:eastAsia="仿宋_GB2312" w:cs="仿宋_GB2312"/>
          <w:sz w:val="32"/>
          <w:szCs w:val="32"/>
          <w:lang w:val="en-US" w:eastAsia="zh-CN"/>
        </w:rPr>
        <w:t>检查</w:t>
      </w:r>
      <w:r>
        <w:rPr>
          <w:rFonts w:hint="eastAsia" w:ascii="仿宋_GB2312" w:hAnsi="仿宋_GB2312" w:eastAsia="仿宋_GB2312" w:cs="仿宋_GB2312"/>
          <w:sz w:val="32"/>
          <w:szCs w:val="32"/>
        </w:rPr>
        <w:t>方案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严格按照</w:t>
      </w:r>
      <w:r>
        <w:rPr>
          <w:rFonts w:hint="eastAsia" w:ascii="仿宋_GB2312" w:hAnsi="仿宋_GB2312" w:eastAsia="仿宋_GB2312" w:cs="仿宋_GB2312"/>
          <w:sz w:val="32"/>
          <w:szCs w:val="32"/>
        </w:rPr>
        <w:t>“扫码入企”系统</w:t>
      </w:r>
      <w:r>
        <w:rPr>
          <w:rFonts w:hint="eastAsia" w:ascii="仿宋_GB2312" w:hAnsi="仿宋_GB2312" w:eastAsia="仿宋_GB2312" w:cs="仿宋_GB2312"/>
          <w:sz w:val="32"/>
          <w:szCs w:val="32"/>
          <w:lang w:val="en-US" w:eastAsia="zh-CN"/>
        </w:rPr>
        <w:t>程序制定并发布检查方案，在检查方案中明确计划检查时间、对象、人员以及检查依据。</w:t>
      </w:r>
      <w:r>
        <w:rPr>
          <w:rFonts w:hint="eastAsia" w:ascii="仿宋_GB2312" w:hAnsi="仿宋_GB2312" w:eastAsia="仿宋_GB2312" w:cs="仿宋_GB2312"/>
          <w:sz w:val="32"/>
          <w:szCs w:val="32"/>
        </w:rPr>
        <w:t>在检查过程中执法人员可利用系统实时记录检查情况，上传相关证据资料，</w:t>
      </w:r>
      <w:r>
        <w:rPr>
          <w:rFonts w:hint="eastAsia" w:ascii="仿宋_GB2312" w:hAnsi="仿宋_GB2312" w:eastAsia="仿宋_GB2312" w:cs="仿宋_GB2312"/>
          <w:sz w:val="32"/>
          <w:szCs w:val="32"/>
          <w:lang w:val="en-US" w:eastAsia="zh-CN"/>
        </w:rPr>
        <w:t>制作现场检查笔录、责令整改通知书、整改意见复查书等检查文书进行登记或发起审批。行政检查结束后，将行政检查结果及时告知企业，</w:t>
      </w:r>
      <w:r>
        <w:rPr>
          <w:rFonts w:hint="eastAsia" w:ascii="仿宋_GB2312" w:hAnsi="仿宋_GB2312" w:eastAsia="仿宋_GB2312" w:cs="仿宋_GB2312"/>
          <w:sz w:val="32"/>
          <w:szCs w:val="32"/>
        </w:rPr>
        <w:t>企业可以通过系统实时了解执法检查情况，对执法人员的工作进行评价和反馈</w:t>
      </w:r>
      <w:r>
        <w:rPr>
          <w:rFonts w:hint="eastAsia" w:ascii="仿宋_GB2312" w:hAnsi="仿宋_GB2312" w:eastAsia="仿宋_GB2312" w:cs="仿宋_GB2312"/>
          <w:sz w:val="32"/>
          <w:szCs w:val="32"/>
          <w:lang w:val="en-US" w:eastAsia="zh-CN"/>
        </w:rPr>
        <w:t>。</w:t>
      </w:r>
    </w:p>
    <w:p w14:paraId="1CABFD4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eastAsia" w:ascii="国标楷体" w:hAnsi="国标楷体" w:eastAsia="国标楷体" w:cs="国标楷体"/>
          <w:b w:val="0"/>
          <w:bCs w:val="0"/>
          <w:sz w:val="32"/>
          <w:szCs w:val="32"/>
          <w:lang w:eastAsia="zh-CN"/>
        </w:rPr>
        <w:t>（</w:t>
      </w:r>
      <w:r>
        <w:rPr>
          <w:rFonts w:hint="eastAsia" w:ascii="国标楷体" w:hAnsi="国标楷体" w:eastAsia="国标楷体" w:cs="国标楷体"/>
          <w:b w:val="0"/>
          <w:bCs w:val="0"/>
          <w:sz w:val="32"/>
          <w:szCs w:val="32"/>
          <w:lang w:val="en-US" w:eastAsia="zh-CN"/>
        </w:rPr>
        <w:t>十五</w:t>
      </w:r>
      <w:r>
        <w:rPr>
          <w:rFonts w:hint="eastAsia" w:ascii="国标楷体" w:hAnsi="国标楷体" w:eastAsia="国标楷体" w:cs="国标楷体"/>
          <w:b w:val="0"/>
          <w:bCs w:val="0"/>
          <w:sz w:val="32"/>
          <w:szCs w:val="32"/>
          <w:lang w:eastAsia="zh-CN"/>
        </w:rPr>
        <w:t>）</w:t>
      </w:r>
      <w:r>
        <w:rPr>
          <w:rFonts w:hint="eastAsia" w:ascii="国标楷体" w:hAnsi="国标楷体" w:eastAsia="国标楷体" w:cs="国标楷体"/>
          <w:b w:val="0"/>
          <w:bCs w:val="0"/>
          <w:sz w:val="32"/>
          <w:szCs w:val="32"/>
        </w:rPr>
        <w:t>工作亮点</w:t>
      </w:r>
      <w:r>
        <w:rPr>
          <w:rFonts w:hint="eastAsia" w:ascii="国标楷体" w:hAnsi="国标楷体" w:eastAsia="国标楷体" w:cs="国标楷体"/>
          <w:b w:val="0"/>
          <w:bCs w:val="0"/>
          <w:sz w:val="32"/>
          <w:szCs w:val="32"/>
          <w:lang w:eastAsia="zh-CN"/>
        </w:rPr>
        <w:t>。</w:t>
      </w:r>
      <w:r>
        <w:rPr>
          <w:rFonts w:hint="eastAsia" w:ascii="Times New Roman" w:hAnsi="Times New Roman" w:eastAsia="仿宋_GB2312" w:cs="Times New Roman"/>
          <w:b/>
          <w:bCs/>
          <w:color w:val="000000"/>
          <w:sz w:val="32"/>
          <w:szCs w:val="32"/>
          <w:lang w:val="en-US" w:eastAsia="zh-CN"/>
        </w:rPr>
        <w:t>一是</w:t>
      </w:r>
      <w:r>
        <w:rPr>
          <w:rFonts w:hint="eastAsia" w:ascii="Times New Roman" w:hAnsi="Times New Roman" w:eastAsia="仿宋_GB2312" w:cs="Times New Roman"/>
          <w:color w:val="000000"/>
          <w:sz w:val="32"/>
          <w:szCs w:val="32"/>
        </w:rPr>
        <w:t>根据我局实际情况，有针对性的自制昆区</w:t>
      </w:r>
      <w:r>
        <w:rPr>
          <w:rFonts w:hint="eastAsia" w:ascii="Times New Roman" w:hAnsi="Times New Roman" w:eastAsia="仿宋_GB2312" w:cs="Times New Roman"/>
          <w:color w:val="000000"/>
          <w:sz w:val="32"/>
          <w:szCs w:val="32"/>
          <w:lang w:val="en-US" w:eastAsia="zh-CN"/>
        </w:rPr>
        <w:t>应急</w:t>
      </w:r>
      <w:r>
        <w:rPr>
          <w:rFonts w:hint="eastAsia" w:ascii="Times New Roman" w:hAnsi="Times New Roman" w:eastAsia="仿宋_GB2312" w:cs="Times New Roman"/>
          <w:color w:val="000000"/>
          <w:sz w:val="32"/>
          <w:szCs w:val="32"/>
        </w:rPr>
        <w:t>局工作手册，内容包括：昆区</w:t>
      </w:r>
      <w:r>
        <w:rPr>
          <w:rFonts w:hint="eastAsia" w:ascii="Times New Roman" w:hAnsi="Times New Roman" w:eastAsia="仿宋_GB2312" w:cs="Times New Roman"/>
          <w:color w:val="000000"/>
          <w:sz w:val="32"/>
          <w:szCs w:val="32"/>
          <w:lang w:val="en-US" w:eastAsia="zh-CN"/>
        </w:rPr>
        <w:t>应急</w:t>
      </w:r>
      <w:r>
        <w:rPr>
          <w:rFonts w:hint="eastAsia" w:ascii="Times New Roman" w:hAnsi="Times New Roman" w:eastAsia="仿宋_GB2312" w:cs="Times New Roman"/>
          <w:color w:val="000000"/>
          <w:sz w:val="32"/>
          <w:szCs w:val="32"/>
        </w:rPr>
        <w:t>局内设科室执法计划制作方法、调查取证注意事项、询问笔录制作技巧、</w:t>
      </w:r>
      <w:r>
        <w:rPr>
          <w:rFonts w:hint="eastAsia" w:ascii="Times New Roman" w:hAnsi="Times New Roman" w:eastAsia="仿宋_GB2312" w:cs="Times New Roman"/>
          <w:color w:val="000000"/>
          <w:sz w:val="32"/>
          <w:szCs w:val="32"/>
          <w:lang w:val="en-US" w:eastAsia="zh-CN"/>
        </w:rPr>
        <w:t>应急</w:t>
      </w:r>
      <w:r>
        <w:rPr>
          <w:rFonts w:hint="eastAsia" w:ascii="Times New Roman" w:hAnsi="Times New Roman" w:eastAsia="仿宋_GB2312" w:cs="Times New Roman"/>
          <w:color w:val="000000"/>
          <w:sz w:val="32"/>
          <w:szCs w:val="32"/>
        </w:rPr>
        <w:t>局权力责任</w:t>
      </w:r>
      <w:r>
        <w:rPr>
          <w:rFonts w:hint="eastAsia" w:ascii="Times New Roman" w:hAnsi="Times New Roman" w:eastAsia="仿宋_GB2312" w:cs="Times New Roman"/>
          <w:color w:val="000000"/>
          <w:sz w:val="32"/>
          <w:szCs w:val="32"/>
          <w:lang w:val="en-US" w:eastAsia="zh-CN"/>
        </w:rPr>
        <w:t>使</w:t>
      </w:r>
      <w:r>
        <w:rPr>
          <w:rFonts w:hint="eastAsia" w:ascii="Times New Roman" w:hAnsi="Times New Roman" w:eastAsia="仿宋_GB2312" w:cs="Times New Roman"/>
          <w:color w:val="000000"/>
          <w:sz w:val="32"/>
          <w:szCs w:val="32"/>
        </w:rPr>
        <w:t>执法人员能迅速上手。</w:t>
      </w:r>
      <w:r>
        <w:rPr>
          <w:rFonts w:hint="eastAsia" w:ascii="Times New Roman" w:hAnsi="Times New Roman" w:eastAsia="仿宋_GB2312" w:cs="Times New Roman"/>
          <w:b/>
          <w:bCs/>
          <w:color w:val="000000"/>
          <w:sz w:val="32"/>
          <w:szCs w:val="32"/>
          <w:lang w:val="en-US" w:eastAsia="zh-CN"/>
        </w:rPr>
        <w:t>二是</w:t>
      </w:r>
      <w:r>
        <w:rPr>
          <w:rFonts w:hint="eastAsia" w:ascii="Times New Roman" w:hAnsi="Times New Roman" w:eastAsia="仿宋_GB2312" w:cs="Times New Roman"/>
          <w:color w:val="000000"/>
          <w:sz w:val="32"/>
          <w:szCs w:val="32"/>
          <w:lang w:val="en-US" w:eastAsia="zh-CN"/>
        </w:rPr>
        <w:t>按照习近平总书记对安全生产领域作出的重要指示，针对安全生产十五条硬措施等制作了《安全生产应知应会手册》。</w:t>
      </w:r>
      <w:r>
        <w:rPr>
          <w:rFonts w:hint="eastAsia" w:ascii="Times New Roman" w:hAnsi="Times New Roman" w:eastAsia="仿宋_GB2312" w:cs="Times New Roman"/>
          <w:b/>
          <w:bCs/>
          <w:color w:val="000000"/>
          <w:sz w:val="32"/>
          <w:szCs w:val="32"/>
          <w:lang w:val="en-US" w:eastAsia="zh-CN"/>
        </w:rPr>
        <w:t>三是</w:t>
      </w:r>
      <w:r>
        <w:rPr>
          <w:rFonts w:hint="eastAsia" w:ascii="Times New Roman" w:hAnsi="Times New Roman" w:eastAsia="仿宋_GB2312" w:cs="Times New Roman"/>
          <w:color w:val="000000"/>
          <w:sz w:val="32"/>
          <w:szCs w:val="32"/>
        </w:rPr>
        <w:t>绘制行政执法、行政强制流程图，要求执法人员对图执法，避免执法程序错误。根据国家、自治区、包头市行政处罚自由裁量标准，补充、完善制作了昆区行政处罚自由裁量标准。</w:t>
      </w:r>
      <w:r>
        <w:rPr>
          <w:rFonts w:hint="eastAsia" w:ascii="Times New Roman" w:hAnsi="Times New Roman" w:eastAsia="仿宋_GB2312" w:cs="Times New Roman"/>
          <w:b/>
          <w:bCs/>
          <w:color w:val="000000"/>
          <w:sz w:val="32"/>
          <w:szCs w:val="32"/>
          <w:lang w:val="en-US" w:eastAsia="zh-CN"/>
        </w:rPr>
        <w:t>四是</w:t>
      </w:r>
      <w:r>
        <w:rPr>
          <w:rFonts w:hint="eastAsia" w:ascii="Times New Roman" w:hAnsi="Times New Roman" w:eastAsia="仿宋_GB2312" w:cs="Times New Roman"/>
          <w:color w:val="000000"/>
          <w:sz w:val="32"/>
          <w:szCs w:val="32"/>
          <w:lang w:val="en-US" w:eastAsia="zh-CN"/>
        </w:rPr>
        <w:t>初步探索行政执法检查与案卷制作分部门实施、相互制约的创新执法改革。</w:t>
      </w:r>
    </w:p>
    <w:p w14:paraId="09C6275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w:t>
      </w:r>
      <w:r>
        <w:rPr>
          <w:rFonts w:hint="eastAsia" w:ascii="黑体" w:hAnsi="黑体" w:eastAsia="黑体" w:cs="黑体"/>
          <w:sz w:val="32"/>
          <w:szCs w:val="32"/>
          <w:lang w:val="en-US" w:eastAsia="zh-CN"/>
        </w:rPr>
        <w:t>2025</w:t>
      </w:r>
      <w:r>
        <w:rPr>
          <w:rFonts w:hint="eastAsia" w:ascii="黑体" w:hAnsi="黑体" w:eastAsia="黑体" w:cs="黑体"/>
          <w:sz w:val="32"/>
          <w:szCs w:val="32"/>
        </w:rPr>
        <w:t>年度推进法治政府建设存在的不足和原因</w:t>
      </w:r>
    </w:p>
    <w:p w14:paraId="4B7C18BF">
      <w:pPr>
        <w:keepNext w:val="0"/>
        <w:keepLines w:val="0"/>
        <w:pageBreakBefore w:val="0"/>
        <w:kinsoku/>
        <w:wordWrap/>
        <w:overflowPunct/>
        <w:topLinePunct w:val="0"/>
        <w:autoSpaceDE/>
        <w:autoSpaceDN/>
        <w:bidi w:val="0"/>
        <w:adjustRightInd/>
        <w:snapToGrid/>
        <w:spacing w:line="560" w:lineRule="exact"/>
        <w:ind w:firstLine="643"/>
        <w:textAlignment w:val="auto"/>
        <w:rPr>
          <w:rFonts w:hint="eastAsia"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sz w:val="32"/>
          <w:szCs w:val="32"/>
        </w:rPr>
        <w:t>在推动法治政府建设过程中，</w:t>
      </w:r>
      <w:r>
        <w:rPr>
          <w:rFonts w:hint="eastAsia" w:ascii="Times New Roman" w:hAnsi="Times New Roman" w:eastAsia="仿宋_GB2312" w:cs="Times New Roman"/>
          <w:color w:val="000000"/>
          <w:sz w:val="32"/>
          <w:szCs w:val="32"/>
          <w:lang w:val="en-US" w:eastAsia="zh-CN"/>
        </w:rPr>
        <w:t>昆区</w:t>
      </w:r>
      <w:r>
        <w:rPr>
          <w:rFonts w:hint="eastAsia" w:ascii="Times New Roman" w:hAnsi="Times New Roman" w:eastAsia="仿宋_GB2312" w:cs="Times New Roman"/>
          <w:color w:val="000000"/>
          <w:sz w:val="32"/>
          <w:szCs w:val="32"/>
        </w:rPr>
        <w:t>应急管理局还存在许多问题</w:t>
      </w:r>
      <w:r>
        <w:rPr>
          <w:rFonts w:hint="eastAsia" w:ascii="Times New Roman" w:hAnsi="Times New Roman" w:eastAsia="仿宋_GB2312" w:cs="Times New Roman"/>
          <w:color w:val="000000"/>
          <w:sz w:val="32"/>
          <w:szCs w:val="32"/>
          <w:lang w:eastAsia="zh-CN"/>
        </w:rPr>
        <w:t>：</w:t>
      </w:r>
    </w:p>
    <w:p w14:paraId="1D699F26">
      <w:pPr>
        <w:keepNext w:val="0"/>
        <w:keepLines w:val="0"/>
        <w:pageBreakBefore w:val="0"/>
        <w:kinsoku/>
        <w:wordWrap/>
        <w:overflowPunct/>
        <w:topLinePunct w:val="0"/>
        <w:autoSpaceDE/>
        <w:autoSpaceDN/>
        <w:bidi w:val="0"/>
        <w:adjustRightInd/>
        <w:snapToGrid/>
        <w:spacing w:line="560" w:lineRule="exact"/>
        <w:ind w:firstLine="643"/>
        <w:textAlignment w:val="auto"/>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（一）</w:t>
      </w:r>
      <w:r>
        <w:rPr>
          <w:rFonts w:hint="eastAsia" w:ascii="Times New Roman" w:hAnsi="Times New Roman" w:eastAsia="仿宋_GB2312" w:cs="Times New Roman"/>
          <w:color w:val="000000"/>
          <w:sz w:val="32"/>
          <w:szCs w:val="32"/>
        </w:rPr>
        <w:t>法制审核人员水平参差不齐，由于机构改革后，机构职能多样化，缺乏相应领域的专业与法律复合型人才。</w:t>
      </w:r>
    </w:p>
    <w:p w14:paraId="59915B28">
      <w:pPr>
        <w:keepNext w:val="0"/>
        <w:keepLines w:val="0"/>
        <w:pageBreakBefore w:val="0"/>
        <w:kinsoku/>
        <w:wordWrap/>
        <w:overflowPunct/>
        <w:topLinePunct w:val="0"/>
        <w:autoSpaceDE/>
        <w:autoSpaceDN/>
        <w:bidi w:val="0"/>
        <w:adjustRightInd/>
        <w:snapToGrid/>
        <w:spacing w:line="560" w:lineRule="exact"/>
        <w:ind w:firstLine="643"/>
        <w:textAlignment w:val="auto"/>
        <w:rPr>
          <w:rFonts w:hint="eastAsia" w:ascii="黑体" w:hAnsi="黑体" w:eastAsia="黑体" w:cs="黑体"/>
          <w:sz w:val="32"/>
          <w:szCs w:val="32"/>
          <w:lang w:val="en-US" w:eastAsia="zh-CN"/>
        </w:rPr>
      </w:pP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lang w:val="en-US" w:eastAsia="zh-CN"/>
        </w:rPr>
        <w:t>二</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rPr>
        <w:t>执法</w:t>
      </w:r>
      <w:r>
        <w:rPr>
          <w:rFonts w:hint="eastAsia" w:ascii="Times New Roman" w:hAnsi="Times New Roman" w:eastAsia="仿宋_GB2312" w:cs="Times New Roman"/>
          <w:color w:val="000000"/>
          <w:sz w:val="32"/>
          <w:szCs w:val="32"/>
          <w:lang w:val="en-US" w:eastAsia="zh-CN"/>
        </w:rPr>
        <w:t>人员由于多新招录人员，业务水平偏低，同监管难度大</w:t>
      </w:r>
      <w:r>
        <w:rPr>
          <w:rFonts w:hint="eastAsia" w:ascii="Times New Roman" w:hAnsi="Times New Roman" w:eastAsia="仿宋_GB2312" w:cs="Times New Roman"/>
          <w:color w:val="000000"/>
          <w:sz w:val="32"/>
          <w:szCs w:val="32"/>
        </w:rPr>
        <w:t>，应急管理涉及职能多样化，平均一</w:t>
      </w:r>
      <w:r>
        <w:rPr>
          <w:rFonts w:hint="eastAsia" w:ascii="Times New Roman" w:hAnsi="Times New Roman" w:eastAsia="仿宋_GB2312" w:cs="Times New Roman"/>
          <w:color w:val="000000"/>
          <w:sz w:val="32"/>
          <w:szCs w:val="32"/>
          <w:lang w:val="en-US" w:eastAsia="zh-CN"/>
        </w:rPr>
        <w:t>名</w:t>
      </w:r>
      <w:r>
        <w:rPr>
          <w:rFonts w:hint="eastAsia" w:ascii="Times New Roman" w:hAnsi="Times New Roman" w:eastAsia="仿宋_GB2312" w:cs="Times New Roman"/>
          <w:color w:val="000000"/>
          <w:sz w:val="32"/>
          <w:szCs w:val="32"/>
        </w:rPr>
        <w:t>执法人员需监管</w:t>
      </w:r>
      <w:r>
        <w:rPr>
          <w:rFonts w:hint="eastAsia" w:ascii="Times New Roman" w:hAnsi="Times New Roman" w:eastAsia="仿宋_GB2312" w:cs="Times New Roman"/>
          <w:color w:val="000000"/>
          <w:sz w:val="32"/>
          <w:szCs w:val="32"/>
          <w:lang w:val="en-US" w:eastAsia="zh-CN"/>
        </w:rPr>
        <w:t>多</w:t>
      </w:r>
      <w:r>
        <w:rPr>
          <w:rFonts w:hint="eastAsia" w:ascii="Times New Roman" w:hAnsi="Times New Roman" w:eastAsia="仿宋_GB2312" w:cs="Times New Roman"/>
          <w:color w:val="000000"/>
          <w:sz w:val="32"/>
          <w:szCs w:val="32"/>
        </w:rPr>
        <w:t>家企业。</w:t>
      </w:r>
    </w:p>
    <w:p w14:paraId="62A9DDB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三、2025年度党政主要责任人履行推进法治建设第一责任人职责和加强法治政府建设的有关情况</w:t>
      </w:r>
    </w:p>
    <w:p w14:paraId="6E65AEC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sz w:val="32"/>
          <w:szCs w:val="32"/>
        </w:rPr>
      </w:pPr>
      <w:r>
        <w:rPr>
          <w:rFonts w:hint="eastAsia" w:ascii="楷体" w:hAnsi="楷体" w:eastAsia="楷体" w:cs="楷体"/>
          <w:sz w:val="32"/>
          <w:szCs w:val="32"/>
          <w:lang w:eastAsia="zh-CN"/>
        </w:rPr>
        <w:t>（一）</w:t>
      </w:r>
      <w:r>
        <w:rPr>
          <w:rFonts w:hint="eastAsia" w:ascii="楷体" w:hAnsi="楷体" w:eastAsia="楷体" w:cs="楷体"/>
          <w:sz w:val="32"/>
          <w:szCs w:val="32"/>
        </w:rPr>
        <w:t>强化领导，制度保障。</w:t>
      </w:r>
      <w:r>
        <w:rPr>
          <w:rFonts w:hint="eastAsia" w:ascii="Times New Roman" w:hAnsi="Times New Roman" w:eastAsia="仿宋_GB2312" w:cs="Times New Roman"/>
          <w:color w:val="000000"/>
          <w:sz w:val="32"/>
          <w:szCs w:val="32"/>
        </w:rPr>
        <w:t>局党委书记、局长始终坚持把法治政府建设工作作为全年单位重要工作之一，列入全年重点工作计划。建立健全一系列内部法治政府建设、依法行政的规范和制度，形成了单位主要负责人亲自抓，分管领导分线负责的良好氛围，层层压实责任，确保法治政府建设工作全面推进。</w:t>
      </w:r>
    </w:p>
    <w:p w14:paraId="228882E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sz w:val="32"/>
          <w:szCs w:val="32"/>
        </w:rPr>
      </w:pPr>
      <w:r>
        <w:rPr>
          <w:rFonts w:hint="eastAsia" w:ascii="楷体" w:hAnsi="楷体" w:eastAsia="楷体" w:cs="楷体"/>
          <w:sz w:val="32"/>
          <w:szCs w:val="32"/>
          <w:lang w:eastAsia="zh-CN"/>
        </w:rPr>
        <w:t>（二）</w:t>
      </w:r>
      <w:r>
        <w:rPr>
          <w:rFonts w:hint="eastAsia" w:ascii="楷体" w:hAnsi="楷体" w:eastAsia="楷体" w:cs="楷体"/>
          <w:sz w:val="32"/>
          <w:szCs w:val="32"/>
        </w:rPr>
        <w:t>加强学习，提高素养。</w:t>
      </w:r>
      <w:r>
        <w:rPr>
          <w:rFonts w:hint="eastAsia" w:ascii="Times New Roman" w:hAnsi="Times New Roman" w:eastAsia="仿宋_GB2312" w:cs="Times New Roman"/>
          <w:color w:val="000000"/>
          <w:sz w:val="32"/>
          <w:szCs w:val="32"/>
        </w:rPr>
        <w:t>局党委书记、局长高度重视通过提升自身法治素养来进一步提升自己依法履职的能力和水平，深入学习习近平法治思想和宪法、行政处罚法、安全生产法等法律法规，在党委理论中心组学习活动中，时刻学法、尊法、守法和用法，不断提高个人的法律意识和素养。</w:t>
      </w:r>
    </w:p>
    <w:p w14:paraId="1B7001D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sz w:val="32"/>
          <w:szCs w:val="32"/>
        </w:rPr>
      </w:pPr>
      <w:r>
        <w:rPr>
          <w:rFonts w:hint="eastAsia" w:ascii="楷体" w:hAnsi="楷体" w:eastAsia="楷体" w:cs="楷体"/>
          <w:sz w:val="32"/>
          <w:szCs w:val="32"/>
          <w:lang w:eastAsia="zh-CN"/>
        </w:rPr>
        <w:t>（三）</w:t>
      </w:r>
      <w:r>
        <w:rPr>
          <w:rFonts w:hint="eastAsia" w:ascii="楷体" w:hAnsi="楷体" w:eastAsia="楷体" w:cs="楷体"/>
          <w:sz w:val="32"/>
          <w:szCs w:val="32"/>
        </w:rPr>
        <w:t>全面部署，系统执法。</w:t>
      </w:r>
      <w:r>
        <w:rPr>
          <w:rFonts w:hint="eastAsia" w:ascii="Times New Roman" w:hAnsi="Times New Roman" w:eastAsia="仿宋_GB2312" w:cs="Times New Roman"/>
          <w:color w:val="000000"/>
          <w:sz w:val="32"/>
          <w:szCs w:val="32"/>
        </w:rPr>
        <w:t>按照主要领导亲自抓，分管领导条线负责的原则，年初制定全年执法计划，由主要领导和分管领导亲自带队前往企业开展执法活动。在跨部门联合执法、重点领域、重点行业、挂牌督办等重难点执法问题上，均由主要领导牵头执法、存量销号、保证质量。</w:t>
      </w:r>
    </w:p>
    <w:p w14:paraId="18B175D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四、下一年度推进法治政府建设的主要安排</w:t>
      </w:r>
    </w:p>
    <w:p w14:paraId="61ACCE82">
      <w:pPr>
        <w:keepNext w:val="0"/>
        <w:keepLines w:val="0"/>
        <w:pageBreakBefore w:val="0"/>
        <w:kinsoku/>
        <w:wordWrap/>
        <w:overflowPunct/>
        <w:topLinePunct w:val="0"/>
        <w:autoSpaceDE/>
        <w:autoSpaceDN/>
        <w:bidi w:val="0"/>
        <w:adjustRightInd/>
        <w:snapToGrid/>
        <w:spacing w:line="560" w:lineRule="exact"/>
        <w:ind w:firstLine="643"/>
        <w:textAlignment w:val="auto"/>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202</w:t>
      </w:r>
      <w:r>
        <w:rPr>
          <w:rFonts w:hint="eastAsia" w:ascii="Times New Roman" w:hAnsi="Times New Roman" w:eastAsia="仿宋_GB2312" w:cs="Times New Roman"/>
          <w:color w:val="000000"/>
          <w:sz w:val="32"/>
          <w:szCs w:val="32"/>
          <w:lang w:val="en-US" w:eastAsia="zh-CN"/>
        </w:rPr>
        <w:t>6</w:t>
      </w:r>
      <w:r>
        <w:rPr>
          <w:rFonts w:hint="eastAsia" w:ascii="Times New Roman" w:hAnsi="Times New Roman" w:eastAsia="仿宋_GB2312" w:cs="Times New Roman"/>
          <w:color w:val="000000"/>
          <w:sz w:val="32"/>
          <w:szCs w:val="32"/>
        </w:rPr>
        <w:t>年，</w:t>
      </w:r>
      <w:r>
        <w:rPr>
          <w:rFonts w:hint="eastAsia" w:ascii="Times New Roman" w:hAnsi="Times New Roman" w:eastAsia="仿宋_GB2312" w:cs="Times New Roman"/>
          <w:color w:val="000000"/>
          <w:sz w:val="32"/>
          <w:szCs w:val="32"/>
          <w:lang w:val="en-US" w:eastAsia="zh-CN"/>
        </w:rPr>
        <w:t>昆区</w:t>
      </w:r>
      <w:r>
        <w:rPr>
          <w:rFonts w:hint="eastAsia" w:ascii="Times New Roman" w:hAnsi="Times New Roman" w:eastAsia="仿宋_GB2312" w:cs="Times New Roman"/>
          <w:color w:val="000000"/>
          <w:sz w:val="32"/>
          <w:szCs w:val="32"/>
        </w:rPr>
        <w:t>应急管理局将深入学习宣传贯彻习近平法治思想，传达学习好党的二十大精神，按照</w:t>
      </w:r>
      <w:r>
        <w:rPr>
          <w:rFonts w:hint="eastAsia" w:ascii="Times New Roman" w:hAnsi="Times New Roman" w:eastAsia="仿宋_GB2312" w:cs="Times New Roman"/>
          <w:color w:val="000000"/>
          <w:sz w:val="32"/>
          <w:szCs w:val="32"/>
          <w:lang w:val="en-US" w:eastAsia="zh-CN"/>
        </w:rPr>
        <w:t>区</w:t>
      </w:r>
      <w:r>
        <w:rPr>
          <w:rFonts w:hint="eastAsia" w:ascii="Times New Roman" w:hAnsi="Times New Roman" w:eastAsia="仿宋_GB2312" w:cs="Times New Roman"/>
          <w:color w:val="000000"/>
          <w:sz w:val="32"/>
          <w:szCs w:val="32"/>
        </w:rPr>
        <w:t>委</w:t>
      </w:r>
      <w:r>
        <w:rPr>
          <w:rFonts w:hint="eastAsia" w:ascii="Times New Roman" w:hAnsi="Times New Roman" w:eastAsia="仿宋_GB2312" w:cs="Times New Roman"/>
          <w:color w:val="000000"/>
          <w:sz w:val="32"/>
          <w:szCs w:val="32"/>
          <w:lang w:val="en-US" w:eastAsia="zh-CN"/>
        </w:rPr>
        <w:t>区</w:t>
      </w:r>
      <w:r>
        <w:rPr>
          <w:rFonts w:hint="eastAsia" w:ascii="Times New Roman" w:hAnsi="Times New Roman" w:eastAsia="仿宋_GB2312" w:cs="Times New Roman"/>
          <w:color w:val="000000"/>
          <w:sz w:val="32"/>
          <w:szCs w:val="32"/>
        </w:rPr>
        <w:t>政府的新部署、新要求，做好法治政府建设新阶段工作，为推动全</w:t>
      </w:r>
      <w:r>
        <w:rPr>
          <w:rFonts w:hint="eastAsia" w:ascii="Times New Roman" w:hAnsi="Times New Roman" w:eastAsia="仿宋_GB2312" w:cs="Times New Roman"/>
          <w:color w:val="000000"/>
          <w:sz w:val="32"/>
          <w:szCs w:val="32"/>
          <w:lang w:val="en-US" w:eastAsia="zh-CN"/>
        </w:rPr>
        <w:t>区</w:t>
      </w:r>
      <w:r>
        <w:rPr>
          <w:rFonts w:hint="eastAsia" w:ascii="Times New Roman" w:hAnsi="Times New Roman" w:eastAsia="仿宋_GB2312" w:cs="Times New Roman"/>
          <w:color w:val="000000"/>
          <w:sz w:val="32"/>
          <w:szCs w:val="32"/>
        </w:rPr>
        <w:t>应急管理和谐、稳定、安全提供法治保证。</w:t>
      </w:r>
    </w:p>
    <w:p w14:paraId="33115D8C">
      <w:pPr>
        <w:keepNext w:val="0"/>
        <w:keepLines w:val="0"/>
        <w:pageBreakBefore w:val="0"/>
        <w:kinsoku/>
        <w:wordWrap/>
        <w:overflowPunct/>
        <w:topLinePunct w:val="0"/>
        <w:autoSpaceDE/>
        <w:autoSpaceDN/>
        <w:bidi w:val="0"/>
        <w:adjustRightInd/>
        <w:snapToGrid/>
        <w:spacing w:line="560" w:lineRule="exact"/>
        <w:ind w:firstLine="643"/>
        <w:textAlignment w:val="auto"/>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eastAsia="zh-CN"/>
        </w:rPr>
        <w:t>（一）</w:t>
      </w:r>
      <w:r>
        <w:rPr>
          <w:rFonts w:hint="eastAsia" w:ascii="Times New Roman" w:hAnsi="Times New Roman" w:eastAsia="仿宋_GB2312" w:cs="Times New Roman"/>
          <w:color w:val="000000"/>
          <w:sz w:val="32"/>
          <w:szCs w:val="32"/>
        </w:rPr>
        <w:t>按照安全生产风险普查“常普常新”机制，以企业安全生产标准化运行情况检查为契机，合理运用风险普查成果，结合安全风险静态、动态分类图，督促企业定期开展全覆盖的风险辨识、研判和管控，不断完善“常普常新”工作机制，为应急管理局精密指控、依法行政提供数据支撑。</w:t>
      </w:r>
    </w:p>
    <w:p w14:paraId="5622773B">
      <w:pPr>
        <w:keepNext w:val="0"/>
        <w:keepLines w:val="0"/>
        <w:pageBreakBefore w:val="0"/>
        <w:kinsoku/>
        <w:wordWrap/>
        <w:overflowPunct/>
        <w:topLinePunct w:val="0"/>
        <w:autoSpaceDE/>
        <w:autoSpaceDN/>
        <w:bidi w:val="0"/>
        <w:adjustRightInd/>
        <w:snapToGrid/>
        <w:spacing w:line="560" w:lineRule="exact"/>
        <w:ind w:firstLine="643"/>
        <w:textAlignment w:val="auto"/>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eastAsia="zh-CN"/>
        </w:rPr>
        <w:t>（二）</w:t>
      </w:r>
      <w:r>
        <w:rPr>
          <w:rFonts w:hint="eastAsia" w:ascii="Times New Roman" w:hAnsi="Times New Roman" w:eastAsia="仿宋_GB2312" w:cs="Times New Roman"/>
          <w:color w:val="000000"/>
          <w:sz w:val="32"/>
          <w:szCs w:val="32"/>
        </w:rPr>
        <w:t>严格执法检查，加大非事故处罚力度。深入开展各类安全生产专项整治行动，严厉打击安全生产各类非法违法行为。制定202</w:t>
      </w:r>
      <w:r>
        <w:rPr>
          <w:rFonts w:hint="eastAsia" w:ascii="Times New Roman" w:hAnsi="Times New Roman" w:eastAsia="仿宋_GB2312" w:cs="Times New Roman"/>
          <w:color w:val="000000"/>
          <w:sz w:val="32"/>
          <w:szCs w:val="32"/>
          <w:lang w:val="en-US" w:eastAsia="zh-CN"/>
        </w:rPr>
        <w:t>6</w:t>
      </w:r>
      <w:r>
        <w:rPr>
          <w:rFonts w:hint="eastAsia" w:ascii="Times New Roman" w:hAnsi="Times New Roman" w:eastAsia="仿宋_GB2312" w:cs="Times New Roman"/>
          <w:color w:val="000000"/>
          <w:sz w:val="32"/>
          <w:szCs w:val="32"/>
        </w:rPr>
        <w:t>年全局执法检查计划，突出重点领域执法检查，对发现的企业重大安全隐患迎行挂牌督办，并督促企业制定具体的风险管控措施和隐患治理方案。</w:t>
      </w:r>
    </w:p>
    <w:p w14:paraId="092504C6">
      <w:pPr>
        <w:keepNext w:val="0"/>
        <w:keepLines w:val="0"/>
        <w:pageBreakBefore w:val="0"/>
        <w:kinsoku/>
        <w:wordWrap/>
        <w:overflowPunct/>
        <w:topLinePunct w:val="0"/>
        <w:autoSpaceDE/>
        <w:autoSpaceDN/>
        <w:bidi w:val="0"/>
        <w:adjustRightInd/>
        <w:snapToGrid/>
        <w:spacing w:line="560" w:lineRule="exact"/>
        <w:ind w:firstLine="643"/>
        <w:textAlignment w:val="auto"/>
        <w:rPr>
          <w:rFonts w:hint="eastAsia"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sz w:val="32"/>
          <w:szCs w:val="32"/>
          <w:lang w:eastAsia="zh-CN"/>
        </w:rPr>
        <w:t>（三）</w:t>
      </w:r>
      <w:r>
        <w:rPr>
          <w:rFonts w:hint="eastAsia" w:ascii="Times New Roman" w:hAnsi="Times New Roman" w:eastAsia="仿宋_GB2312" w:cs="Times New Roman"/>
          <w:color w:val="000000"/>
          <w:sz w:val="32"/>
          <w:szCs w:val="32"/>
        </w:rPr>
        <w:t>狠抓业务学习，继续普法宣传。利用线下学习会、组织培训会、应急管理干部学院、学习强国等形式，促进干部形成“集中学、带头学、个人学”三位一体的学习方式，不断提升执法业务能力和水平。充分利用“安全生产月”“防灾减灾日”等活动，广泛开展普法宣传活动</w:t>
      </w:r>
      <w:r>
        <w:rPr>
          <w:rFonts w:hint="eastAsia" w:ascii="Times New Roman" w:hAnsi="Times New Roman" w:eastAsia="仿宋_GB2312" w:cs="Times New Roman"/>
          <w:color w:val="000000"/>
          <w:sz w:val="32"/>
          <w:szCs w:val="32"/>
          <w:lang w:eastAsia="zh-CN"/>
        </w:rPr>
        <w:t>。</w:t>
      </w:r>
    </w:p>
    <w:p w14:paraId="2B65EDD0">
      <w:pPr>
        <w:keepNext w:val="0"/>
        <w:keepLines w:val="0"/>
        <w:pageBreakBefore w:val="0"/>
        <w:kinsoku/>
        <w:wordWrap/>
        <w:overflowPunct/>
        <w:topLinePunct w:val="0"/>
        <w:autoSpaceDE/>
        <w:autoSpaceDN/>
        <w:bidi w:val="0"/>
        <w:adjustRightInd/>
        <w:snapToGrid/>
        <w:spacing w:line="560" w:lineRule="exact"/>
        <w:ind w:firstLine="643"/>
        <w:textAlignment w:val="auto"/>
        <w:rPr>
          <w:rFonts w:hint="eastAsia" w:ascii="Times New Roman" w:hAnsi="Times New Roman" w:eastAsia="仿宋_GB2312" w:cs="Times New Roman"/>
          <w:color w:val="000000"/>
          <w:sz w:val="32"/>
          <w:szCs w:val="32"/>
          <w:lang w:eastAsia="zh-CN"/>
        </w:rPr>
      </w:pPr>
    </w:p>
    <w:p w14:paraId="091E55F8">
      <w:pPr>
        <w:keepNext w:val="0"/>
        <w:keepLines w:val="0"/>
        <w:pageBreakBefore w:val="0"/>
        <w:kinsoku/>
        <w:wordWrap/>
        <w:overflowPunct/>
        <w:topLinePunct w:val="0"/>
        <w:autoSpaceDE/>
        <w:autoSpaceDN/>
        <w:bidi w:val="0"/>
        <w:adjustRightInd/>
        <w:snapToGrid/>
        <w:spacing w:line="560" w:lineRule="exact"/>
        <w:ind w:firstLine="643"/>
        <w:textAlignment w:val="auto"/>
        <w:rPr>
          <w:rFonts w:hint="eastAsia" w:ascii="Times New Roman" w:hAnsi="Times New Roman" w:eastAsia="仿宋_GB2312" w:cs="Times New Roman"/>
          <w:color w:val="000000"/>
          <w:sz w:val="32"/>
          <w:szCs w:val="32"/>
          <w:lang w:eastAsia="zh-CN"/>
        </w:rPr>
      </w:pPr>
    </w:p>
    <w:p w14:paraId="3778859C">
      <w:pPr>
        <w:keepNext w:val="0"/>
        <w:keepLines w:val="0"/>
        <w:pageBreakBefore w:val="0"/>
        <w:kinsoku/>
        <w:wordWrap/>
        <w:overflowPunct/>
        <w:topLinePunct w:val="0"/>
        <w:autoSpaceDE/>
        <w:autoSpaceDN/>
        <w:bidi w:val="0"/>
        <w:adjustRightInd/>
        <w:snapToGrid/>
        <w:spacing w:line="560" w:lineRule="exact"/>
        <w:ind w:firstLine="5772" w:firstLineChars="1804"/>
        <w:textAlignment w:val="auto"/>
        <w:rPr>
          <w:rFonts w:hint="eastAsia"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sz w:val="32"/>
          <w:szCs w:val="32"/>
          <w:lang w:eastAsia="zh-CN"/>
        </w:rPr>
        <w:t>昆区应急管理局</w:t>
      </w:r>
    </w:p>
    <w:p w14:paraId="39619527">
      <w:pPr>
        <w:keepNext w:val="0"/>
        <w:keepLines w:val="0"/>
        <w:pageBreakBefore w:val="0"/>
        <w:kinsoku/>
        <w:wordWrap/>
        <w:overflowPunct/>
        <w:topLinePunct w:val="0"/>
        <w:autoSpaceDE/>
        <w:autoSpaceDN/>
        <w:bidi w:val="0"/>
        <w:adjustRightInd/>
        <w:snapToGrid/>
        <w:spacing w:line="560" w:lineRule="exact"/>
        <w:ind w:firstLine="5772" w:firstLineChars="1804"/>
        <w:textAlignment w:val="auto"/>
        <w:rPr>
          <w:rFonts w:hint="default"/>
          <w:lang w:val="en-US" w:eastAsia="zh-CN"/>
        </w:rPr>
      </w:pPr>
      <w:r>
        <w:rPr>
          <w:rFonts w:hint="eastAsia" w:ascii="Times New Roman" w:hAnsi="Times New Roman" w:eastAsia="仿宋_GB2312" w:cs="Times New Roman"/>
          <w:color w:val="000000"/>
          <w:sz w:val="32"/>
          <w:szCs w:val="32"/>
          <w:lang w:val="en-US" w:eastAsia="zh-CN"/>
        </w:rPr>
        <w:t>2026年1月15日</w:t>
      </w:r>
    </w:p>
    <w:p w14:paraId="07F60244">
      <w:pPr>
        <w:keepNext w:val="0"/>
        <w:keepLines w:val="0"/>
        <w:pageBreakBefore w:val="0"/>
        <w:kinsoku/>
        <w:wordWrap/>
        <w:overflowPunct/>
        <w:topLinePunct w:val="0"/>
        <w:autoSpaceDN/>
        <w:bidi w:val="0"/>
        <w:spacing w:line="560" w:lineRule="exact"/>
        <w:textAlignment w:val="auto"/>
        <w:rPr>
          <w:rFonts w:hint="eastAsia" w:eastAsiaTheme="minorEastAsia"/>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国标楷体">
    <w:panose1 w:val="02000500000000000000"/>
    <w:charset w:val="86"/>
    <w:family w:val="auto"/>
    <w:pitch w:val="default"/>
    <w:sig w:usb0="00000001" w:usb1="08000000" w:usb2="00000000" w:usb3="00000000" w:csb0="00060007"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A7894">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D777F7">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8D777F7">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D26C57"/>
    <w:rsid w:val="1D5F0734"/>
    <w:rsid w:val="4D6FB824"/>
    <w:rsid w:val="5AFE20D8"/>
    <w:rsid w:val="5D40EAFE"/>
    <w:rsid w:val="5ED26C57"/>
    <w:rsid w:val="5FF89E9C"/>
    <w:rsid w:val="673F05B8"/>
    <w:rsid w:val="677B4138"/>
    <w:rsid w:val="6D9FC396"/>
    <w:rsid w:val="74FB3233"/>
    <w:rsid w:val="79BF9496"/>
    <w:rsid w:val="79FD639B"/>
    <w:rsid w:val="7BFDF6FE"/>
    <w:rsid w:val="7CE6F455"/>
    <w:rsid w:val="7EAF6201"/>
    <w:rsid w:val="7FFB19AC"/>
    <w:rsid w:val="B3D9D517"/>
    <w:rsid w:val="BE7EFF49"/>
    <w:rsid w:val="C3FF93F1"/>
    <w:rsid w:val="ED4B53F6"/>
    <w:rsid w:val="ED5FE51F"/>
    <w:rsid w:val="F6BE8B39"/>
    <w:rsid w:val="F7D7915E"/>
    <w:rsid w:val="FFAF4B64"/>
    <w:rsid w:val="FFFFE5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正文-公1"/>
    <w:next w:val="1"/>
    <w:qFormat/>
    <w:uiPriority w:val="0"/>
    <w:pPr>
      <w:widowControl w:val="0"/>
      <w:ind w:firstLine="200" w:firstLineChars="200"/>
    </w:pPr>
    <w:rPr>
      <w:rFonts w:ascii="Times New Roman" w:hAnsi="Times New Roman" w:eastAsia="仿宋_GB2312" w:cs="Times New Roman"/>
      <w:kern w:val="2"/>
      <w:sz w:val="21"/>
      <w:szCs w:val="22"/>
      <w:lang w:val="en-US" w:eastAsia="zh-CN" w:bidi="ar-SA"/>
    </w:rPr>
  </w:style>
  <w:style w:type="paragraph" w:styleId="3">
    <w:name w:val="Normal Indent"/>
    <w:basedOn w:val="1"/>
    <w:qFormat/>
    <w:uiPriority w:val="0"/>
    <w:pPr>
      <w:ind w:firstLine="420" w:firstLineChars="200"/>
    </w:pPr>
    <w:rPr>
      <w:rFonts w:ascii="Calibri" w:hAnsi="Calibri" w:eastAsia="仿宋" w:cs="Times New Roman"/>
    </w:rPr>
  </w:style>
  <w:style w:type="paragraph" w:styleId="4">
    <w:name w:val="Body Text Indent"/>
    <w:basedOn w:val="1"/>
    <w:next w:val="3"/>
    <w:qFormat/>
    <w:uiPriority w:val="0"/>
    <w:pPr>
      <w:spacing w:after="120"/>
      <w:ind w:left="420" w:leftChars="200"/>
    </w:pPr>
    <w:rPr>
      <w:rFonts w:ascii="Calibri" w:hAnsi="Calibri" w:eastAsia="宋体" w:cs="Times New Roma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next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8">
    <w:name w:val="Body Text First Indent 2"/>
    <w:basedOn w:val="4"/>
    <w:qFormat/>
    <w:uiPriority w:val="0"/>
    <w:pPr>
      <w:spacing w:after="0"/>
      <w:ind w:left="0" w:leftChars="0" w:firstLine="420" w:firstLineChars="200"/>
    </w:pPr>
    <w:rPr>
      <w:rFonts w:ascii="Calibri" w:hAnsi="Calibri" w:eastAsia="宋体" w:cs="宋体"/>
      <w:sz w:val="24"/>
      <w:szCs w:val="32"/>
    </w:rPr>
  </w:style>
  <w:style w:type="paragraph" w:customStyle="1" w:styleId="11">
    <w:name w:val="Body Text First Indent 21"/>
    <w:basedOn w:val="12"/>
    <w:autoRedefine/>
    <w:qFormat/>
    <w:uiPriority w:val="0"/>
    <w:pPr>
      <w:widowControl w:val="0"/>
      <w:spacing w:after="120" w:line="240" w:lineRule="auto"/>
      <w:ind w:left="420" w:leftChars="200" w:firstLine="420"/>
    </w:pPr>
    <w:rPr>
      <w:szCs w:val="24"/>
    </w:rPr>
  </w:style>
  <w:style w:type="paragraph" w:customStyle="1" w:styleId="12">
    <w:name w:val="Body Text Indent1"/>
    <w:basedOn w:val="1"/>
    <w:next w:val="13"/>
    <w:qFormat/>
    <w:uiPriority w:val="0"/>
    <w:pPr>
      <w:spacing w:after="120" w:afterLines="0"/>
      <w:ind w:left="420" w:leftChars="200"/>
    </w:pPr>
  </w:style>
  <w:style w:type="paragraph" w:customStyle="1" w:styleId="13">
    <w:name w:val="Normal Indent1"/>
    <w:basedOn w:val="1"/>
    <w:qFormat/>
    <w:uiPriority w:val="0"/>
    <w:pPr>
      <w:ind w:firstLine="420" w:firstLineChars="200"/>
    </w:pPr>
    <w:rPr>
      <w:rFonts w:eastAsia="仿宋"/>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20</TotalTime>
  <ScaleCrop>false</ScaleCrop>
  <LinksUpToDate>false</LinksUpToDate>
  <CharactersWithSpaces>0</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2025-11-18T02:08:00Z</dcterms:created>
  <dc:creator>leon_maqikai</dc:creator>
  <cp:lastModifiedBy>权妹儿</cp:lastModifiedBy>
  <cp:lastPrinted>2026-01-16T11:31:10Z</cp:lastPrinted>
  <dcterms:modified xsi:type="dcterms:W3CDTF">2026-01-16T11:48:56Z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FD5229E8A509355473B76869BEC9C205_43</vt:lpwstr>
  </property>
  <property fmtid="{D5CDD505-2E9C-101B-9397-08002B2CF9AE}" pid="4" name="KSOTemplateDocerSaveRecord">
    <vt:lpwstr>eyJoZGlkIjoiNTNjOTFlN2Y1Y2M2ZTVlMDM1MTljZWQzOGY5N2M4MDYiLCJ1c2VySWQiOiIxOTA5MTY0MzgifQ==</vt:lpwstr>
  </property>
</Properties>
</file>