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ascii="方正小标宋_GBK" w:hAnsi="方正小标宋_GBK" w:eastAsia="方正小标宋_GBK"/>
          <w:b w:val="0"/>
          <w:bCs w:val="0"/>
          <w:sz w:val="30"/>
        </w:rPr>
      </w:pPr>
      <w:bookmarkStart w:id="1" w:name="_GoBack"/>
      <w:bookmarkStart w:id="0" w:name="_Toc24724710"/>
      <w:r>
        <w:rPr>
          <w:rFonts w:hint="eastAsia" w:ascii="方正小标宋_GBK" w:hAnsi="方正小标宋_GBK" w:eastAsia="方正小标宋_GBK"/>
          <w:b w:val="0"/>
          <w:bCs w:val="0"/>
          <w:sz w:val="30"/>
        </w:rPr>
        <w:t>公共法律服务领域</w:t>
      </w:r>
      <w:bookmarkEnd w:id="1"/>
      <w:r>
        <w:rPr>
          <w:rFonts w:hint="eastAsia" w:ascii="方正小标宋_GBK" w:hAnsi="方正小标宋_GBK" w:eastAsia="方正小标宋_GBK"/>
          <w:b w:val="0"/>
          <w:bCs w:val="0"/>
          <w:sz w:val="30"/>
        </w:rPr>
        <w:t>基层政务公开标准目录</w:t>
      </w:r>
      <w:bookmarkEnd w:id="0"/>
    </w:p>
    <w:tbl>
      <w:tblPr>
        <w:tblStyle w:val="9"/>
        <w:tblW w:w="15480" w:type="dxa"/>
        <w:tblInd w:w="-7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900"/>
        <w:gridCol w:w="1440"/>
        <w:gridCol w:w="1620"/>
        <w:gridCol w:w="1980"/>
        <w:gridCol w:w="1800"/>
        <w:gridCol w:w="900"/>
        <w:gridCol w:w="2340"/>
        <w:gridCol w:w="540"/>
        <w:gridCol w:w="900"/>
        <w:gridCol w:w="540"/>
        <w:gridCol w:w="720"/>
        <w:gridCol w:w="540"/>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restart"/>
            <w:shd w:val="clear" w:color="auto" w:fill="auto"/>
            <w:vAlign w:val="center"/>
          </w:tcPr>
          <w:p>
            <w:pPr>
              <w:widowControl/>
              <w:jc w:val="center"/>
              <w:rPr>
                <w:rFonts w:ascii="Times New Roman" w:hAnsi="Times New Roman"/>
                <w:color w:val="000000"/>
                <w:kern w:val="0"/>
                <w:sz w:val="22"/>
              </w:rPr>
            </w:pPr>
            <w:r>
              <w:rPr>
                <w:rFonts w:ascii="Times New Roman" w:hAnsi="宋体"/>
                <w:color w:val="000000"/>
                <w:kern w:val="0"/>
                <w:sz w:val="22"/>
              </w:rPr>
              <w:t>序号</w:t>
            </w:r>
          </w:p>
        </w:tc>
        <w:tc>
          <w:tcPr>
            <w:tcW w:w="23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公开事项</w:t>
            </w:r>
          </w:p>
        </w:tc>
        <w:tc>
          <w:tcPr>
            <w:tcW w:w="162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公开内容（要素）</w:t>
            </w:r>
          </w:p>
        </w:tc>
        <w:tc>
          <w:tcPr>
            <w:tcW w:w="198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公开依据</w:t>
            </w:r>
          </w:p>
        </w:tc>
        <w:tc>
          <w:tcPr>
            <w:tcW w:w="18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公开时限</w:t>
            </w:r>
          </w:p>
        </w:tc>
        <w:tc>
          <w:tcPr>
            <w:tcW w:w="900" w:type="dxa"/>
            <w:vMerge w:val="restart"/>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公开主体</w:t>
            </w:r>
          </w:p>
        </w:tc>
        <w:tc>
          <w:tcPr>
            <w:tcW w:w="2340" w:type="dxa"/>
            <w:vMerge w:val="restart"/>
            <w:shd w:val="clear" w:color="auto" w:fill="auto"/>
            <w:vAlign w:val="center"/>
          </w:tcPr>
          <w:p>
            <w:pPr>
              <w:widowControl/>
              <w:jc w:val="center"/>
              <w:rPr>
                <w:rFonts w:ascii="黑体" w:hAnsi="宋体" w:eastAsia="黑体" w:cs="宋体"/>
                <w:kern w:val="0"/>
                <w:sz w:val="22"/>
              </w:rPr>
            </w:pPr>
            <w:r>
              <w:rPr>
                <w:rFonts w:hint="eastAsia" w:ascii="黑体" w:hAnsi="宋体" w:eastAsia="黑体" w:cs="宋体"/>
                <w:kern w:val="0"/>
                <w:sz w:val="22"/>
              </w:rPr>
              <w:t>公开渠道和载体</w:t>
            </w:r>
          </w:p>
        </w:tc>
        <w:tc>
          <w:tcPr>
            <w:tcW w:w="144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公开对象</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公开方式</w:t>
            </w:r>
          </w:p>
        </w:tc>
        <w:tc>
          <w:tcPr>
            <w:tcW w:w="1260" w:type="dxa"/>
            <w:gridSpan w:val="2"/>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公开层级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Merge w:val="continue"/>
            <w:vAlign w:val="center"/>
          </w:tcPr>
          <w:p>
            <w:pPr>
              <w:widowControl/>
              <w:jc w:val="left"/>
              <w:rPr>
                <w:rFonts w:ascii="Times New Roman" w:hAnsi="Times New Roman"/>
                <w:color w:val="000000"/>
                <w:kern w:val="0"/>
                <w:sz w:val="22"/>
              </w:rPr>
            </w:pP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一级事项</w:t>
            </w:r>
          </w:p>
        </w:tc>
        <w:tc>
          <w:tcPr>
            <w:tcW w:w="14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二级事项</w:t>
            </w:r>
          </w:p>
        </w:tc>
        <w:tc>
          <w:tcPr>
            <w:tcW w:w="1620" w:type="dxa"/>
            <w:vMerge w:val="continue"/>
            <w:vAlign w:val="center"/>
          </w:tcPr>
          <w:p>
            <w:pPr>
              <w:widowControl/>
              <w:jc w:val="left"/>
              <w:rPr>
                <w:rFonts w:ascii="黑体" w:hAnsi="宋体" w:eastAsia="黑体" w:cs="宋体"/>
                <w:color w:val="000000"/>
                <w:kern w:val="0"/>
                <w:sz w:val="22"/>
              </w:rPr>
            </w:pPr>
          </w:p>
        </w:tc>
        <w:tc>
          <w:tcPr>
            <w:tcW w:w="1980" w:type="dxa"/>
            <w:vMerge w:val="continue"/>
            <w:vAlign w:val="center"/>
          </w:tcPr>
          <w:p>
            <w:pPr>
              <w:widowControl/>
              <w:jc w:val="left"/>
              <w:rPr>
                <w:rFonts w:ascii="黑体" w:hAnsi="宋体" w:eastAsia="黑体" w:cs="宋体"/>
                <w:color w:val="000000"/>
                <w:kern w:val="0"/>
                <w:sz w:val="22"/>
              </w:rPr>
            </w:pPr>
          </w:p>
        </w:tc>
        <w:tc>
          <w:tcPr>
            <w:tcW w:w="1800" w:type="dxa"/>
            <w:vMerge w:val="continue"/>
            <w:vAlign w:val="center"/>
          </w:tcPr>
          <w:p>
            <w:pPr>
              <w:widowControl/>
              <w:jc w:val="left"/>
              <w:rPr>
                <w:rFonts w:ascii="黑体" w:hAnsi="宋体" w:eastAsia="黑体" w:cs="宋体"/>
                <w:color w:val="000000"/>
                <w:kern w:val="0"/>
                <w:sz w:val="22"/>
              </w:rPr>
            </w:pPr>
          </w:p>
        </w:tc>
        <w:tc>
          <w:tcPr>
            <w:tcW w:w="900" w:type="dxa"/>
            <w:vMerge w:val="continue"/>
            <w:vAlign w:val="center"/>
          </w:tcPr>
          <w:p>
            <w:pPr>
              <w:widowControl/>
              <w:jc w:val="left"/>
              <w:rPr>
                <w:rFonts w:ascii="黑体" w:hAnsi="宋体" w:eastAsia="黑体" w:cs="宋体"/>
                <w:color w:val="000000"/>
                <w:kern w:val="0"/>
                <w:sz w:val="22"/>
              </w:rPr>
            </w:pPr>
          </w:p>
        </w:tc>
        <w:tc>
          <w:tcPr>
            <w:tcW w:w="2340" w:type="dxa"/>
            <w:vMerge w:val="continue"/>
            <w:vAlign w:val="center"/>
          </w:tcPr>
          <w:p>
            <w:pPr>
              <w:widowControl/>
              <w:jc w:val="left"/>
              <w:rPr>
                <w:rFonts w:ascii="黑体" w:hAnsi="宋体" w:eastAsia="黑体" w:cs="宋体"/>
                <w:kern w:val="0"/>
                <w:sz w:val="22"/>
              </w:rPr>
            </w:pP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全社会</w:t>
            </w:r>
          </w:p>
        </w:tc>
        <w:tc>
          <w:tcPr>
            <w:tcW w:w="90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特定群众</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主动</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依申请公开</w:t>
            </w:r>
          </w:p>
        </w:tc>
        <w:tc>
          <w:tcPr>
            <w:tcW w:w="54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县级</w:t>
            </w:r>
          </w:p>
        </w:tc>
        <w:tc>
          <w:tcPr>
            <w:tcW w:w="720" w:type="dxa"/>
            <w:shd w:val="clear" w:color="auto" w:fill="auto"/>
            <w:vAlign w:val="center"/>
          </w:tcPr>
          <w:p>
            <w:pPr>
              <w:widowControl/>
              <w:jc w:val="center"/>
              <w:rPr>
                <w:rFonts w:ascii="黑体" w:hAnsi="宋体" w:eastAsia="黑体" w:cs="宋体"/>
                <w:color w:val="000000"/>
                <w:kern w:val="0"/>
                <w:sz w:val="22"/>
              </w:rPr>
            </w:pPr>
            <w:r>
              <w:rPr>
                <w:rFonts w:hint="eastAsia" w:ascii="黑体" w:hAnsi="宋体" w:eastAsia="黑体" w:cs="宋体"/>
                <w:color w:val="000000"/>
                <w:kern w:val="0"/>
                <w:sz w:val="22"/>
              </w:rPr>
              <w:t>乡、村级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456" w:hRule="atLeas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w:t>
            </w:r>
          </w:p>
        </w:tc>
        <w:tc>
          <w:tcPr>
            <w:tcW w:w="900" w:type="dxa"/>
            <w:vMerge w:val="restart"/>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法治宣传教育</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法律知识普及服务</w:t>
            </w:r>
          </w:p>
        </w:tc>
        <w:tc>
          <w:tcPr>
            <w:tcW w:w="162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法律法规资讯；普法动态资讯；</w:t>
            </w:r>
          </w:p>
        </w:tc>
        <w:tc>
          <w:tcPr>
            <w:tcW w:w="1980" w:type="dxa"/>
            <w:vAlign w:val="center"/>
          </w:tcPr>
          <w:p>
            <w:pPr>
              <w:widowControl/>
              <w:textAlignment w:val="center"/>
              <w:rPr>
                <w:rFonts w:ascii="仿宋_GB2312" w:hAnsi="宋体" w:eastAsia="仿宋_GB2312"/>
                <w:color w:val="auto"/>
                <w:sz w:val="18"/>
                <w:szCs w:val="18"/>
              </w:rPr>
            </w:pPr>
            <w:r>
              <w:rPr>
                <w:rFonts w:hint="eastAsia" w:ascii="仿宋_GB2312" w:hAnsi="宋体" w:eastAsia="仿宋_GB2312"/>
                <w:color w:val="auto"/>
                <w:sz w:val="18"/>
                <w:szCs w:val="18"/>
              </w:rPr>
              <w:t>《中共中央、国务院转发&lt;中央宣传部、司法部关于开展法治宣传教育的第八个五年规划（2021-2025）&gt;》</w:t>
            </w:r>
          </w:p>
        </w:tc>
        <w:tc>
          <w:tcPr>
            <w:tcW w:w="1800" w:type="dxa"/>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广播电视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纸质媒体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入户/现场     </w:t>
            </w:r>
          </w:p>
          <w:p>
            <w:pPr>
              <w:widowControl/>
              <w:jc w:val="left"/>
              <w:textAlignment w:val="center"/>
              <w:rPr>
                <w:rFonts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其他法律服务网</w:t>
            </w: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2</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推广法治文化服务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辖区内法治文化阵地信息；法治文化作品、产品</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auto"/>
                <w:sz w:val="18"/>
                <w:szCs w:val="18"/>
              </w:rPr>
              <w:t>《中共中央、国务院转发&lt;中央宣传部、司法部关于开展法治宣传教育的第八个五年规划（2021-2025）&gt;》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广播电视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纸质媒体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入户/现场     </w:t>
            </w:r>
          </w:p>
          <w:p>
            <w:pPr>
              <w:widowControl/>
              <w:jc w:val="left"/>
              <w:textAlignment w:val="center"/>
              <w:rPr>
                <w:rFonts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社区/企事业单位/村公示栏（电子屏）</w:t>
            </w:r>
          </w:p>
          <w:p>
            <w:pPr>
              <w:widowControl/>
              <w:jc w:val="left"/>
              <w:textAlignment w:val="center"/>
              <w:rPr>
                <w:rFonts w:hint="eastAsia"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其他法律服务网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784" w:hRule="atLeas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6</w:t>
            </w:r>
          </w:p>
        </w:tc>
        <w:tc>
          <w:tcPr>
            <w:tcW w:w="9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给予法律援助决定书；不予法律援助决定书；指派通知书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r>
              <w:rPr>
                <w:rFonts w:hint="eastAsia" w:ascii="仿宋_GB2312" w:hAnsi="宋体" w:eastAsia="仿宋_GB2312"/>
                <w:color w:val="000000"/>
                <w:sz w:val="18"/>
                <w:szCs w:val="18"/>
                <w:lang w:eastAsia="zh-CN"/>
              </w:rPr>
              <w:t>法</w:t>
            </w:r>
            <w:r>
              <w:rPr>
                <w:rFonts w:hint="eastAsia" w:ascii="仿宋_GB2312" w:hAnsi="宋体" w:eastAsia="仿宋_GB2312"/>
                <w:color w:val="000000"/>
                <w:sz w:val="18"/>
                <w:szCs w:val="18"/>
              </w:rPr>
              <w: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w:t>
            </w:r>
            <w:r>
              <w:rPr>
                <w:rFonts w:hint="eastAsia" w:ascii="仿宋_GB2312" w:hAnsi="宋体" w:eastAsia="仿宋_GB2312"/>
                <w:color w:val="000000"/>
                <w:sz w:val="18"/>
                <w:szCs w:val="18"/>
                <w:lang w:val="en-US" w:eastAsia="zh-CN"/>
              </w:rPr>
              <w:t>7</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法律援助申请人、受指派的律师事务所或其他组织等</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7</w:t>
            </w:r>
          </w:p>
        </w:tc>
        <w:tc>
          <w:tcPr>
            <w:tcW w:w="900" w:type="dxa"/>
            <w:vMerge w:val="restart"/>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法律援助办案人员办案补贴的审核发放</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案件补贴审核发放表</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r>
              <w:rPr>
                <w:rFonts w:hint="eastAsia" w:ascii="仿宋_GB2312" w:hAnsi="宋体" w:eastAsia="仿宋_GB2312"/>
                <w:color w:val="000000"/>
                <w:sz w:val="18"/>
                <w:szCs w:val="18"/>
                <w:lang w:eastAsia="zh-CN"/>
              </w:rPr>
              <w:t>法</w:t>
            </w:r>
            <w:r>
              <w:rPr>
                <w:rFonts w:hint="eastAsia" w:ascii="仿宋_GB2312" w:hAnsi="宋体" w:eastAsia="仿宋_GB2312"/>
                <w:color w:val="000000"/>
                <w:sz w:val="18"/>
                <w:szCs w:val="18"/>
              </w:rPr>
              <w: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法律援助机构</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pPr>
              <w:jc w:val="cente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8</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对法律援助机构不予援助决定异议的审查</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处理决定书</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r>
              <w:rPr>
                <w:rFonts w:hint="eastAsia" w:ascii="仿宋_GB2312" w:hAnsi="宋体" w:eastAsia="仿宋_GB2312"/>
                <w:color w:val="000000"/>
                <w:sz w:val="18"/>
                <w:szCs w:val="18"/>
                <w:lang w:eastAsia="zh-CN"/>
              </w:rPr>
              <w:t>法</w:t>
            </w:r>
            <w:r>
              <w:rPr>
                <w:rFonts w:hint="eastAsia" w:ascii="仿宋_GB2312" w:hAnsi="宋体" w:eastAsia="仿宋_GB2312"/>
                <w:color w:val="000000"/>
                <w:sz w:val="18"/>
                <w:szCs w:val="18"/>
              </w:rPr>
              <w: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自收到公开申请之日起</w:t>
            </w:r>
            <w:r>
              <w:rPr>
                <w:rFonts w:hint="eastAsia" w:ascii="仿宋_GB2312" w:hAnsi="宋体" w:eastAsia="仿宋_GB2312"/>
                <w:color w:val="000000"/>
                <w:sz w:val="18"/>
                <w:szCs w:val="18"/>
                <w:lang w:val="en-US" w:eastAsia="zh-CN"/>
              </w:rPr>
              <w:t>7</w:t>
            </w:r>
            <w:r>
              <w:rPr>
                <w:rFonts w:hint="eastAsia" w:ascii="仿宋_GB2312" w:hAnsi="宋体" w:eastAsia="仿宋_GB2312"/>
                <w:color w:val="000000"/>
                <w:sz w:val="18"/>
                <w:szCs w:val="18"/>
              </w:rPr>
              <w:t>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申请人</w:t>
            </w:r>
          </w:p>
        </w:tc>
        <w:tc>
          <w:tcPr>
            <w:tcW w:w="540" w:type="dxa"/>
            <w:shd w:val="clear" w:color="auto" w:fill="auto"/>
            <w:vAlign w:val="center"/>
          </w:tcPr>
          <w:p>
            <w:pPr>
              <w:jc w:val="center"/>
              <w:rPr>
                <w:rFonts w:ascii="仿宋_GB2312" w:hAnsi="宋体" w:eastAsia="仿宋_GB2312"/>
                <w:color w:val="000000"/>
                <w:sz w:val="18"/>
                <w:szCs w:val="18"/>
              </w:rPr>
            </w:pP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9</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对在法律援助工作中作出突出贡献的组织和个人进行表彰奖励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《法律援助</w:t>
            </w:r>
            <w:r>
              <w:rPr>
                <w:rFonts w:hint="eastAsia" w:ascii="仿宋_GB2312" w:hAnsi="宋体" w:eastAsia="仿宋_GB2312"/>
                <w:color w:val="000000"/>
                <w:sz w:val="18"/>
                <w:szCs w:val="18"/>
                <w:lang w:eastAsia="zh-CN"/>
              </w:rPr>
              <w:t>法</w:t>
            </w:r>
            <w:r>
              <w:rPr>
                <w:rFonts w:hint="eastAsia" w:ascii="仿宋_GB2312" w:hAnsi="宋体" w:eastAsia="仿宋_GB2312"/>
                <w:color w:val="000000"/>
                <w:sz w:val="18"/>
                <w:szCs w:val="18"/>
              </w:rPr>
              <w: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widowControl/>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ascii="仿宋_GB2312" w:hAnsi="宋体" w:eastAsia="仿宋_GB2312"/>
                <w:color w:val="000000"/>
                <w:sz w:val="18"/>
                <w:szCs w:val="18"/>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14</w:t>
            </w:r>
          </w:p>
        </w:tc>
        <w:tc>
          <w:tcPr>
            <w:tcW w:w="900" w:type="dxa"/>
            <w:shd w:val="clear" w:color="auto" w:fill="auto"/>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对有突出贡献的人民调解委员会和人民调解员按照国家规定给予表彰奖励</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评选表彰通知；先进集体和个人申报表（空白表）；拟表彰的先进集体先进个人名单；</w:t>
            </w:r>
          </w:p>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表彰决定</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《人民调解法》</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rPr>
            </w:pPr>
            <w:r>
              <w:rPr>
                <w:rFonts w:ascii="仿宋_GB2312" w:hAnsi="宋体" w:eastAsia="仿宋_GB2312"/>
                <w:color w:val="000000"/>
                <w:sz w:val="18"/>
                <w:szCs w:val="18"/>
              </w:rPr>
              <w:t xml:space="preserve">■政府网站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两微一端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广播电视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纸质媒体    </w:t>
            </w: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 xml:space="preserve">入户/现场     </w:t>
            </w:r>
          </w:p>
          <w:p>
            <w:pPr>
              <w:widowControl/>
              <w:jc w:val="left"/>
              <w:textAlignment w:val="center"/>
              <w:rPr>
                <w:rFonts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社区/企事业单位/村公示栏（电子屏）</w:t>
            </w:r>
          </w:p>
          <w:p>
            <w:pPr>
              <w:widowControl/>
              <w:jc w:val="left"/>
              <w:textAlignment w:val="center"/>
              <w:rPr>
                <w:rFonts w:ascii="仿宋_GB2312" w:hAnsi="宋体" w:eastAsia="仿宋_GB2312"/>
                <w:color w:val="000000"/>
                <w:sz w:val="18"/>
                <w:szCs w:val="18"/>
              </w:rPr>
            </w:pPr>
            <w:r>
              <w:rPr>
                <w:rFonts w:hint="eastAsia" w:ascii="仿宋_GB2312" w:hAnsi="仿宋_GB2312" w:eastAsia="仿宋_GB2312" w:cs="仿宋_GB2312"/>
                <w:color w:val="000000"/>
                <w:sz w:val="18"/>
                <w:szCs w:val="18"/>
              </w:rPr>
              <w:t>□</w:t>
            </w:r>
            <w:r>
              <w:rPr>
                <w:rFonts w:ascii="仿宋_GB2312" w:hAnsi="宋体" w:eastAsia="仿宋_GB2312"/>
                <w:color w:val="000000"/>
                <w:sz w:val="18"/>
                <w:szCs w:val="18"/>
              </w:rPr>
              <w:t>其他法律服务网</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15</w:t>
            </w:r>
          </w:p>
        </w:tc>
        <w:tc>
          <w:tcPr>
            <w:tcW w:w="900" w:type="dxa"/>
            <w:vMerge w:val="restart"/>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法律查询服务</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法律法规和案例检索服务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法律法规；典型案例</w:t>
            </w:r>
          </w:p>
        </w:tc>
        <w:tc>
          <w:tcPr>
            <w:tcW w:w="1980" w:type="dxa"/>
            <w:vAlign w:val="center"/>
          </w:tcPr>
          <w:p>
            <w:pPr>
              <w:rPr>
                <w:rFonts w:ascii="仿宋_GB2312" w:hAnsi="宋体" w:eastAsia="仿宋_GB2312"/>
                <w:color w:val="000000"/>
                <w:sz w:val="18"/>
                <w:szCs w:val="18"/>
              </w:rPr>
            </w:pPr>
            <w:r>
              <w:rPr>
                <w:rFonts w:hint="eastAsia" w:ascii="仿宋_GB2312" w:hAnsi="宋体" w:eastAsia="仿宋_GB2312"/>
                <w:color w:val="auto"/>
                <w:sz w:val="18"/>
                <w:szCs w:val="18"/>
              </w:rPr>
              <w:t>《中共中央、国务院转发&lt;中央宣传部、司法部关于开展法治宣传教育的第八个五年规划（2021-2025）&gt;》</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16</w:t>
            </w:r>
          </w:p>
        </w:tc>
        <w:tc>
          <w:tcPr>
            <w:tcW w:w="900" w:type="dxa"/>
            <w:vMerge w:val="continue"/>
            <w:shd w:val="clear" w:color="auto" w:fill="auto"/>
            <w:vAlign w:val="center"/>
          </w:tcPr>
          <w:p>
            <w:pPr>
              <w:jc w:val="center"/>
              <w:rPr>
                <w:rFonts w:ascii="仿宋_GB2312" w:hAnsi="宋体" w:eastAsia="仿宋_GB2312"/>
                <w:color w:val="000000"/>
                <w:sz w:val="18"/>
                <w:szCs w:val="18"/>
              </w:rPr>
            </w:pP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法律服务机构、人员信息查询服务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辖区内的律师、公证、基层法律服务、人民调解等法律服务机构和人员有关基本信息</w:t>
            </w:r>
          </w:p>
        </w:tc>
        <w:tc>
          <w:tcPr>
            <w:tcW w:w="19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center"/>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查询一体机</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540" w:type="dxa"/>
            <w:vAlign w:val="center"/>
          </w:tcPr>
          <w:p>
            <w:pPr>
              <w:widowControl/>
              <w:numPr>
                <w:ilvl w:val="0"/>
                <w:numId w:val="1"/>
              </w:numPr>
              <w:ind w:left="425" w:leftChars="0" w:hanging="425" w:firstLineChars="0"/>
              <w:jc w:val="center"/>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17</w:t>
            </w:r>
          </w:p>
        </w:tc>
        <w:tc>
          <w:tcPr>
            <w:tcW w:w="90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法律咨询服务</w:t>
            </w:r>
          </w:p>
        </w:tc>
        <w:tc>
          <w:tcPr>
            <w:tcW w:w="1440" w:type="dxa"/>
            <w:shd w:val="clear" w:color="auto" w:fill="auto"/>
            <w:vAlign w:val="center"/>
          </w:tcPr>
          <w:p>
            <w:pPr>
              <w:widowControl/>
              <w:textAlignment w:val="center"/>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公共法律服务实体平台、热线平台、网络平台咨询服务</w:t>
            </w:r>
          </w:p>
        </w:tc>
        <w:tc>
          <w:tcPr>
            <w:tcW w:w="1620" w:type="dxa"/>
            <w:vAlign w:val="center"/>
          </w:tcPr>
          <w:p>
            <w:pPr>
              <w:tabs>
                <w:tab w:val="center" w:pos="4153"/>
                <w:tab w:val="right" w:pos="8306"/>
              </w:tabs>
              <w:snapToGrid w:val="0"/>
              <w:spacing w:line="360" w:lineRule="auto"/>
              <w:rPr>
                <w:rFonts w:ascii="仿宋_GB2312" w:hAnsi="宋体" w:eastAsia="仿宋_GB2312"/>
                <w:color w:val="000000"/>
                <w:sz w:val="18"/>
                <w:szCs w:val="18"/>
              </w:rPr>
            </w:pPr>
            <w:r>
              <w:rPr>
                <w:rFonts w:hint="eastAsia" w:ascii="仿宋_GB2312" w:hAnsi="宋体" w:eastAsia="仿宋_GB2312"/>
                <w:color w:val="000000"/>
                <w:sz w:val="18"/>
                <w:szCs w:val="18"/>
              </w:rPr>
              <w:t>公共法律服务实体、热线、网络平台法律咨询服务指南</w:t>
            </w:r>
          </w:p>
        </w:tc>
        <w:tc>
          <w:tcPr>
            <w:tcW w:w="1980" w:type="dxa"/>
            <w:vAlign w:val="center"/>
          </w:tcPr>
          <w:p>
            <w:pPr>
              <w:jc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政府信息公开条例</w:t>
            </w:r>
          </w:p>
        </w:tc>
        <w:tc>
          <w:tcPr>
            <w:tcW w:w="1800" w:type="dxa"/>
            <w:vAlign w:val="center"/>
          </w:tcPr>
          <w:p>
            <w:pPr>
              <w:rPr>
                <w:rFonts w:ascii="仿宋_GB2312" w:hAnsi="宋体" w:eastAsia="仿宋_GB2312"/>
                <w:color w:val="000000"/>
                <w:sz w:val="18"/>
                <w:szCs w:val="18"/>
              </w:rPr>
            </w:pPr>
            <w:r>
              <w:rPr>
                <w:rFonts w:hint="eastAsia" w:ascii="仿宋_GB2312" w:hAnsi="宋体" w:eastAsia="仿宋_GB2312"/>
                <w:color w:val="000000"/>
                <w:sz w:val="18"/>
                <w:szCs w:val="18"/>
              </w:rPr>
              <w:t>自制作或获取该信息之日起20个工作日内公开</w:t>
            </w:r>
          </w:p>
        </w:tc>
        <w:tc>
          <w:tcPr>
            <w:tcW w:w="900" w:type="dxa"/>
            <w:vAlign w:val="center"/>
          </w:tcPr>
          <w:p>
            <w:pPr>
              <w:jc w:val="center"/>
              <w:rPr>
                <w:rFonts w:hint="eastAsia" w:ascii="仿宋_GB2312" w:hAnsi="宋体" w:eastAsia="仿宋_GB2312"/>
                <w:color w:val="000000"/>
                <w:sz w:val="18"/>
                <w:szCs w:val="18"/>
              </w:rPr>
            </w:pPr>
            <w:r>
              <w:rPr>
                <w:rFonts w:hint="eastAsia" w:ascii="仿宋_GB2312" w:hAnsi="宋体" w:eastAsia="仿宋_GB2312"/>
                <w:color w:val="000000"/>
                <w:sz w:val="18"/>
                <w:szCs w:val="18"/>
              </w:rPr>
              <w:t>司法行政部门</w:t>
            </w:r>
          </w:p>
        </w:tc>
        <w:tc>
          <w:tcPr>
            <w:tcW w:w="2340" w:type="dxa"/>
            <w:vAlign w:val="center"/>
          </w:tcPr>
          <w:p>
            <w:pPr>
              <w:widowControl/>
              <w:jc w:val="left"/>
              <w:textAlignment w:val="center"/>
              <w:rPr>
                <w:rFonts w:hint="eastAsia" w:ascii="仿宋_GB2312" w:hAnsi="宋体" w:eastAsia="仿宋_GB2312"/>
                <w:color w:val="000000"/>
                <w:sz w:val="18"/>
                <w:szCs w:val="18"/>
                <w:lang w:eastAsia="zh-CN"/>
              </w:rPr>
            </w:pPr>
            <w:r>
              <w:rPr>
                <w:rFonts w:hint="eastAsia" w:ascii="仿宋_GB2312" w:hAnsi="宋体" w:eastAsia="仿宋_GB2312"/>
                <w:color w:val="000000"/>
                <w:sz w:val="18"/>
                <w:szCs w:val="18"/>
                <w:lang w:eastAsia="zh-CN"/>
              </w:rPr>
              <w:t>公共法律服务中心</w:t>
            </w:r>
          </w:p>
          <w:p>
            <w:pPr>
              <w:widowControl/>
              <w:jc w:val="left"/>
              <w:textAlignment w:val="center"/>
              <w:rPr>
                <w:rFonts w:hint="default" w:ascii="仿宋_GB2312" w:hAnsi="宋体" w:eastAsia="仿宋_GB2312"/>
                <w:color w:val="000000"/>
                <w:sz w:val="18"/>
                <w:szCs w:val="18"/>
                <w:lang w:val="en-US" w:eastAsia="zh-CN"/>
              </w:rPr>
            </w:pPr>
            <w:r>
              <w:rPr>
                <w:rFonts w:hint="eastAsia" w:ascii="仿宋_GB2312" w:hAnsi="宋体" w:eastAsia="仿宋_GB2312"/>
                <w:color w:val="000000"/>
                <w:sz w:val="18"/>
                <w:szCs w:val="18"/>
                <w:lang w:eastAsia="zh-CN"/>
              </w:rPr>
              <w:t>昆区</w:t>
            </w:r>
            <w:r>
              <w:rPr>
                <w:rFonts w:hint="eastAsia" w:ascii="仿宋_GB2312" w:hAnsi="宋体" w:eastAsia="仿宋_GB2312"/>
                <w:color w:val="000000"/>
                <w:sz w:val="18"/>
                <w:szCs w:val="18"/>
                <w:lang w:val="en-US" w:eastAsia="zh-CN"/>
              </w:rPr>
              <w:t>12348公共法律服务平台</w:t>
            </w: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90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p>
        </w:tc>
        <w:tc>
          <w:tcPr>
            <w:tcW w:w="54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c>
          <w:tcPr>
            <w:tcW w:w="720" w:type="dxa"/>
            <w:shd w:val="clear" w:color="auto" w:fill="auto"/>
            <w:vAlign w:val="center"/>
          </w:tcPr>
          <w:p>
            <w:pPr>
              <w:jc w:val="center"/>
              <w:rPr>
                <w:rFonts w:ascii="仿宋_GB2312" w:hAnsi="宋体" w:eastAsia="仿宋_GB2312"/>
                <w:color w:val="000000"/>
                <w:sz w:val="18"/>
                <w:szCs w:val="18"/>
              </w:rPr>
            </w:pPr>
            <w:r>
              <w:rPr>
                <w:rFonts w:hint="eastAsia" w:ascii="仿宋_GB2312" w:hAnsi="宋体" w:eastAsia="仿宋_GB2312"/>
                <w:color w:val="000000"/>
                <w:sz w:val="18"/>
                <w:szCs w:val="18"/>
              </w:rPr>
              <w:t>√</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golian Baiti">
    <w:panose1 w:val="03000500000000000000"/>
    <w:charset w:val="00"/>
    <w:family w:val="script"/>
    <w:pitch w:val="default"/>
    <w:sig w:usb0="80000023" w:usb1="00000000" w:usb2="00020000" w:usb3="00000000" w:csb0="00000001" w:csb1="00000000"/>
  </w:font>
  <w:font w:name="等线">
    <w:panose1 w:val="02010600030101010101"/>
    <w:charset w:val="86"/>
    <w:family w:val="auto"/>
    <w:pitch w:val="default"/>
    <w:sig w:usb0="A00002BF" w:usb1="38CF7CFA" w:usb2="00000016" w:usb3="00000000" w:csb0="0004000F" w:csb1="00000000"/>
  </w:font>
  <w:font w:name="方正小标宋_GBK">
    <w:altName w:val="微软雅黑"/>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DFE1A48"/>
    <w:multiLevelType w:val="singleLevel"/>
    <w:tmpl w:val="8DFE1A48"/>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3"/>
    <w:rsid w:val="001E6D63"/>
    <w:rsid w:val="002967AA"/>
    <w:rsid w:val="002E0878"/>
    <w:rsid w:val="003B2C77"/>
    <w:rsid w:val="00416393"/>
    <w:rsid w:val="00586590"/>
    <w:rsid w:val="00612901"/>
    <w:rsid w:val="008438B0"/>
    <w:rsid w:val="00902A01"/>
    <w:rsid w:val="00FA002F"/>
    <w:rsid w:val="04AE1BD6"/>
    <w:rsid w:val="13910C75"/>
    <w:rsid w:val="1429572D"/>
    <w:rsid w:val="1E7035F4"/>
    <w:rsid w:val="29C405E1"/>
    <w:rsid w:val="2CBC78A0"/>
    <w:rsid w:val="30AE4A46"/>
    <w:rsid w:val="33046395"/>
    <w:rsid w:val="418D0B46"/>
    <w:rsid w:val="4E760212"/>
    <w:rsid w:val="58657191"/>
  </w:rsids>
  <m:mathPr>
    <m:mathFont m:val="Cambria Math"/>
    <m:brkBin m:val="before"/>
    <m:brkBinSub m:val="--"/>
    <m:smallFrac m:val="0"/>
    <m:dispDef/>
    <m:lMargin m:val="0"/>
    <m:rMargin m:val="0"/>
    <m:defJc m:val="centerGroup"/>
    <m:wrapIndent m:val="1440"/>
    <m:intLim m:val="subSup"/>
    <m:naryLim m:val="undOvr"/>
  </m:mathPr>
  <w:themeFontLang w:val="en-US" w:eastAsia="zh-CN" w:bidi="mn-Mong-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Mongolian Bait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nhideWhenUsed="0" w:uiPriority="0" w:name="Balloon Text"/>
    <w:lsdException w:qFormat="1" w:unhideWhenUsed="0" w:uiPriority="0"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link w:val="17"/>
    <w:semiHidden/>
    <w:qFormat/>
    <w:uiPriority w:val="0"/>
    <w:pPr>
      <w:jc w:val="left"/>
    </w:pPr>
  </w:style>
  <w:style w:type="paragraph" w:styleId="4">
    <w:name w:val="Balloon Text"/>
    <w:basedOn w:val="1"/>
    <w:link w:val="19"/>
    <w:semiHidden/>
    <w:qFormat/>
    <w:uiPriority w:val="0"/>
    <w:rPr>
      <w:sz w:val="18"/>
      <w:szCs w:val="18"/>
    </w:rPr>
  </w:style>
  <w:style w:type="paragraph" w:styleId="5">
    <w:name w:val="footer"/>
    <w:basedOn w:val="1"/>
    <w:link w:val="22"/>
    <w:qFormat/>
    <w:uiPriority w:val="0"/>
    <w:pPr>
      <w:tabs>
        <w:tab w:val="center" w:pos="4153"/>
        <w:tab w:val="right" w:pos="8306"/>
      </w:tabs>
      <w:snapToGrid w:val="0"/>
      <w:jc w:val="left"/>
    </w:pPr>
    <w:rPr>
      <w:sz w:val="18"/>
      <w:szCs w:val="18"/>
    </w:rPr>
  </w:style>
  <w:style w:type="paragraph" w:styleId="6">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7">
    <w:name w:val="toc 1"/>
    <w:basedOn w:val="1"/>
    <w:next w:val="1"/>
    <w:semiHidden/>
    <w:qFormat/>
    <w:uiPriority w:val="0"/>
    <w:pPr>
      <w:tabs>
        <w:tab w:val="right" w:leader="dot" w:pos="14760"/>
      </w:tabs>
      <w:spacing w:line="700" w:lineRule="exact"/>
      <w:ind w:left="359" w:leftChars="171" w:right="332" w:rightChars="158"/>
    </w:pPr>
  </w:style>
  <w:style w:type="paragraph" w:styleId="8">
    <w:name w:val="annotation subject"/>
    <w:basedOn w:val="3"/>
    <w:next w:val="3"/>
    <w:link w:val="18"/>
    <w:semiHidden/>
    <w:qFormat/>
    <w:uiPriority w:val="0"/>
    <w:rPr>
      <w:b/>
      <w:bCs/>
    </w:rPr>
  </w:style>
  <w:style w:type="table" w:styleId="10">
    <w:name w:val="Table Grid"/>
    <w:basedOn w:val="9"/>
    <w:qFormat/>
    <w:uiPriority w:val="0"/>
    <w:rPr>
      <w:rFonts w:ascii="Calibri" w:hAnsi="Calibri" w:eastAsia="宋体" w:cs="Times New Roman"/>
      <w:kern w:val="0"/>
      <w:sz w:val="20"/>
      <w:szCs w:val="20"/>
      <w:lang w:bidi="mn-Mong-C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character" w:styleId="12">
    <w:name w:val="page number"/>
    <w:basedOn w:val="11"/>
    <w:qFormat/>
    <w:uiPriority w:val="0"/>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character" w:customStyle="1" w:styleId="15">
    <w:name w:val="标题 1 字符"/>
    <w:basedOn w:val="11"/>
    <w:link w:val="2"/>
    <w:qFormat/>
    <w:uiPriority w:val="0"/>
    <w:rPr>
      <w:rFonts w:ascii="Calibri" w:hAnsi="Calibri" w:eastAsia="宋体" w:cs="Times New Roman"/>
      <w:b/>
      <w:bCs/>
      <w:kern w:val="44"/>
      <w:sz w:val="44"/>
      <w:szCs w:val="44"/>
    </w:rPr>
  </w:style>
  <w:style w:type="paragraph" w:customStyle="1" w:styleId="16">
    <w:name w:val="列出段落"/>
    <w:basedOn w:val="1"/>
    <w:qFormat/>
    <w:uiPriority w:val="0"/>
    <w:pPr>
      <w:ind w:firstLine="420" w:firstLineChars="200"/>
    </w:pPr>
    <w:rPr>
      <w:rFonts w:ascii="等线" w:hAnsi="等线" w:eastAsia="等线"/>
    </w:rPr>
  </w:style>
  <w:style w:type="character" w:customStyle="1" w:styleId="17">
    <w:name w:val="批注文字 字符"/>
    <w:basedOn w:val="11"/>
    <w:link w:val="3"/>
    <w:semiHidden/>
    <w:qFormat/>
    <w:uiPriority w:val="0"/>
    <w:rPr>
      <w:rFonts w:ascii="Calibri" w:hAnsi="Calibri" w:eastAsia="宋体" w:cs="Times New Roman"/>
    </w:rPr>
  </w:style>
  <w:style w:type="character" w:customStyle="1" w:styleId="18">
    <w:name w:val="批注主题 字符"/>
    <w:basedOn w:val="17"/>
    <w:link w:val="8"/>
    <w:semiHidden/>
    <w:qFormat/>
    <w:uiPriority w:val="0"/>
    <w:rPr>
      <w:rFonts w:ascii="Calibri" w:hAnsi="Calibri" w:eastAsia="宋体" w:cs="Times New Roman"/>
      <w:b/>
      <w:bCs/>
    </w:rPr>
  </w:style>
  <w:style w:type="character" w:customStyle="1" w:styleId="19">
    <w:name w:val="批注框文本 字符"/>
    <w:basedOn w:val="11"/>
    <w:link w:val="4"/>
    <w:semiHidden/>
    <w:qFormat/>
    <w:uiPriority w:val="0"/>
    <w:rPr>
      <w:rFonts w:ascii="Calibri" w:hAnsi="Calibri" w:eastAsia="宋体" w:cs="Times New Roman"/>
      <w:sz w:val="18"/>
      <w:szCs w:val="18"/>
    </w:rPr>
  </w:style>
  <w:style w:type="paragraph" w:customStyle="1" w:styleId="20">
    <w:name w:val="列出段落1"/>
    <w:basedOn w:val="1"/>
    <w:qFormat/>
    <w:uiPriority w:val="0"/>
    <w:pPr>
      <w:ind w:firstLine="420" w:firstLineChars="200"/>
    </w:pPr>
  </w:style>
  <w:style w:type="character" w:customStyle="1" w:styleId="21">
    <w:name w:val="页眉 字符"/>
    <w:basedOn w:val="11"/>
    <w:link w:val="6"/>
    <w:qFormat/>
    <w:uiPriority w:val="0"/>
    <w:rPr>
      <w:rFonts w:ascii="Calibri" w:hAnsi="Calibri" w:eastAsia="宋体" w:cs="Times New Roman"/>
      <w:sz w:val="18"/>
      <w:szCs w:val="18"/>
    </w:rPr>
  </w:style>
  <w:style w:type="character" w:customStyle="1" w:styleId="22">
    <w:name w:val="页脚 字符"/>
    <w:basedOn w:val="11"/>
    <w:link w:val="5"/>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29E66D-7303-49EB-9636-D1B65FAE65E9}">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1315</Words>
  <Characters>1344</Characters>
  <Lines>23</Lines>
  <Paragraphs>6</Paragraphs>
  <TotalTime>4</TotalTime>
  <ScaleCrop>false</ScaleCrop>
  <LinksUpToDate>false</LinksUpToDate>
  <CharactersWithSpaces>1399</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2020-03-06T06:54:00Z</dcterms:created>
  <dc:creator>tai yuzhu</dc:creator>
  <cp:lastModifiedBy>吞云鲸</cp:lastModifiedBy>
  <cp:lastPrinted>2020-10-29T03:45:00Z</cp:lastPrinted>
  <dcterms:modified xsi:type="dcterms:W3CDTF">2025-03-31T09:06:21Z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KSOTemplateDocerSaveRecord">
    <vt:lpwstr>eyJoZGlkIjoiZmI1ZDNiYWYzOWNlMzQyYzUzNzg3MGYyOWZjYjliNGYiLCJ1c2VySWQiOiI1MTQ5MDMxMjIifQ==</vt:lpwstr>
  </property>
  <property fmtid="{D5CDD505-2E9C-101B-9397-08002B2CF9AE}" pid="4" name="ICV">
    <vt:lpwstr>40D725E4366447259CD8A1114191A7AC_12</vt:lpwstr>
  </property>
</Properties>
</file>