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（十五）</w:t>
      </w:r>
      <w:bookmarkStart w:id="0" w:name="_GoBack"/>
      <w:r>
        <w:rPr>
          <w:rFonts w:hint="eastAsia" w:ascii="方正小标宋_GBK" w:hAnsi="方正小标宋_GBK" w:eastAsia="方正小标宋_GBK"/>
          <w:b w:val="0"/>
          <w:bCs w:val="0"/>
          <w:sz w:val="30"/>
        </w:rPr>
        <w:t>国有土地上房屋征收</w:t>
      </w:r>
      <w:bookmarkEnd w:id="0"/>
      <w:r>
        <w:rPr>
          <w:rFonts w:hint="eastAsia" w:ascii="方正小标宋_GBK" w:hAnsi="方正小标宋_GBK" w:eastAsia="方正小标宋_GBK"/>
          <w:b w:val="0"/>
          <w:bCs w:val="0"/>
          <w:sz w:val="30"/>
        </w:rPr>
        <w:t>与补偿领域基层政务公开标准目录</w:t>
      </w:r>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2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政府信息公开条例</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县（区、市）人民政府及房屋征收部门</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政府信息公开条例</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县（区、市）人民政府及房屋征收部门</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启动要件</w:t>
            </w:r>
          </w:p>
        </w:tc>
        <w:tc>
          <w:tcPr>
            <w:tcW w:w="1800" w:type="dxa"/>
            <w:shd w:val="clear" w:color="auto" w:fill="auto"/>
            <w:vAlign w:val="center"/>
          </w:tcPr>
          <w:p>
            <w:pPr>
              <w:numPr>
                <w:ilvl w:val="0"/>
                <w:numId w:val="1"/>
              </w:num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社会稳定风险评估报告</w:t>
            </w:r>
          </w:p>
          <w:p>
            <w:pPr>
              <w:numPr>
                <w:ilvl w:val="0"/>
                <w:numId w:val="1"/>
              </w:num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房屋征收与补偿方案</w:t>
            </w:r>
          </w:p>
          <w:p>
            <w:pPr>
              <w:numPr>
                <w:ilvl w:val="0"/>
                <w:numId w:val="1"/>
              </w:num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市房屋征收部门出具的列入市国有土地上房屋征收年度计划文件</w:t>
            </w:r>
          </w:p>
          <w:p>
            <w:pPr>
              <w:numPr>
                <w:ilvl w:val="0"/>
                <w:numId w:val="1"/>
              </w:num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市发改部门出具的建设活动符合国民经济和社会发展规划的审核意见</w:t>
            </w:r>
          </w:p>
          <w:p>
            <w:pPr>
              <w:numPr>
                <w:ilvl w:val="0"/>
                <w:numId w:val="1"/>
              </w:num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是国土资源部门出具的建设活动符合土地利用总体规划的审核意见</w:t>
            </w:r>
          </w:p>
          <w:p>
            <w:pPr>
              <w:numPr>
                <w:ilvl w:val="0"/>
                <w:numId w:val="1"/>
              </w:num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市规划部门出具的建设活动符合城乡总体规划和专项规划的审核意见</w:t>
            </w:r>
          </w:p>
          <w:p>
            <w:pPr>
              <w:numPr>
                <w:ilvl w:val="0"/>
                <w:numId w:val="1"/>
              </w:num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房屋征收补偿资金来源及产权调换房源的说明</w:t>
            </w:r>
          </w:p>
          <w:p>
            <w:pPr>
              <w:numPr>
                <w:ilvl w:val="0"/>
                <w:numId w:val="1"/>
              </w:num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因保障性安居工程、旧城区改建房屋征收项目列入市、区国民经济和社会发展年度计划的文件</w:t>
            </w:r>
          </w:p>
          <w:p>
            <w:pPr>
              <w:numPr>
                <w:ilvl w:val="0"/>
                <w:numId w:val="1"/>
              </w:num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因旧城区改建房屋征收征询被征收人（使用人）改建意愿的情况说明</w:t>
            </w:r>
            <w:r>
              <w:rPr>
                <w:rFonts w:hint="eastAsia" w:ascii="仿宋_GB2312" w:hAnsi="宋体" w:eastAsia="仿宋_GB2312"/>
                <w:color w:val="000000"/>
                <w:sz w:val="18"/>
                <w:szCs w:val="18"/>
              </w:rPr>
              <w:t>。</w:t>
            </w:r>
          </w:p>
        </w:tc>
        <w:tc>
          <w:tcPr>
            <w:tcW w:w="32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《内蒙古自治区国有土地上房屋征收与补偿条例》</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《包头市国有土地上房屋征收与补偿办法》</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县（区、市）人民政府及相关部门</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社会稳定风险评估</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社会稳定风险评估结果。</w:t>
            </w:r>
          </w:p>
        </w:tc>
        <w:tc>
          <w:tcPr>
            <w:tcW w:w="32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《内蒙古自治区国有土地上房屋征收与补偿条例》</w:t>
            </w:r>
          </w:p>
          <w:p>
            <w:pP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eastAsia="zh-CN"/>
              </w:rPr>
              <w:t>《包头市国有土地上房屋征收与补偿办法》《自治区</w:t>
            </w:r>
            <w:r>
              <w:rPr>
                <w:rFonts w:hint="eastAsia" w:ascii="仿宋_GB2312" w:hAnsi="宋体" w:eastAsia="仿宋_GB2312"/>
                <w:color w:val="000000"/>
                <w:sz w:val="18"/>
                <w:szCs w:val="18"/>
                <w:lang w:val="en-US" w:eastAsia="zh-CN"/>
              </w:rPr>
              <w:t>2019第23号文件</w:t>
            </w:r>
            <w:r>
              <w:rPr>
                <w:rFonts w:hint="eastAsia" w:ascii="仿宋_GB2312" w:hAnsi="宋体" w:eastAsia="仿宋_GB2312"/>
                <w:color w:val="000000"/>
                <w:sz w:val="18"/>
                <w:szCs w:val="18"/>
                <w:lang w:eastAsia="zh-CN"/>
              </w:rPr>
              <w:t>》</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《内蒙古自治区国有土地上房屋征收与补偿条例》</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《包头市国有土地上房屋征收与补偿办法》</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县（区、市）人民政府及房屋征收部门</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《国有土地上房屋征收与补偿条例》；</w:t>
            </w:r>
            <w:r>
              <w:rPr>
                <w:rFonts w:hint="eastAsia" w:ascii="仿宋_GB2312" w:hAnsi="宋体" w:eastAsia="仿宋_GB2312"/>
                <w:color w:val="000000"/>
                <w:sz w:val="18"/>
                <w:szCs w:val="18"/>
                <w:lang w:eastAsia="zh-CN"/>
              </w:rPr>
              <w:t>《内蒙古自治区国有土地上房屋征收与补偿条例》</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《包头市国有土地上房屋征收与补偿办法》</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《国有土地上房屋征收与补偿条例》；</w:t>
            </w:r>
            <w:r>
              <w:rPr>
                <w:rFonts w:hint="eastAsia" w:ascii="仿宋_GB2312" w:hAnsi="宋体" w:eastAsia="仿宋_GB2312"/>
                <w:color w:val="000000"/>
                <w:sz w:val="18"/>
                <w:szCs w:val="18"/>
                <w:lang w:eastAsia="zh-CN"/>
              </w:rPr>
              <w:t>《内蒙古自治区国有土地上房屋征收与补偿条例》</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《包头市国有土地上房屋征收与补偿办法》</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房地产估价机构确定</w:t>
            </w:r>
          </w:p>
        </w:tc>
        <w:tc>
          <w:tcPr>
            <w:tcW w:w="1800" w:type="dxa"/>
            <w:shd w:val="clear" w:color="auto" w:fill="auto"/>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房地产估价机</w:t>
            </w:r>
            <w:r>
              <w:rPr>
                <w:rFonts w:hint="eastAsia" w:ascii="仿宋_GB2312" w:hAnsi="宋体" w:eastAsia="仿宋_GB2312"/>
                <w:color w:val="000000"/>
                <w:sz w:val="18"/>
                <w:szCs w:val="18"/>
                <w:lang w:eastAsia="zh-CN"/>
              </w:rPr>
              <w:t>要求三家以上</w:t>
            </w:r>
            <w:r>
              <w:rPr>
                <w:rFonts w:hint="eastAsia" w:ascii="仿宋_GB2312" w:hAnsi="宋体" w:eastAsia="仿宋_GB2312"/>
                <w:color w:val="000000"/>
                <w:sz w:val="18"/>
                <w:szCs w:val="18"/>
              </w:rPr>
              <w:t>构选</w:t>
            </w:r>
            <w:r>
              <w:rPr>
                <w:rFonts w:hint="eastAsia" w:ascii="仿宋_GB2312" w:hAnsi="宋体" w:eastAsia="仿宋_GB2312"/>
                <w:color w:val="000000"/>
                <w:sz w:val="18"/>
                <w:szCs w:val="18"/>
                <w:lang w:eastAsia="zh-CN"/>
              </w:rPr>
              <w:t>最后一家确定</w:t>
            </w:r>
          </w:p>
        </w:tc>
        <w:tc>
          <w:tcPr>
            <w:tcW w:w="32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《内蒙古自治区国有土地上房屋征收与补偿条例》</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《包头市国有土地上房屋征收与补偿办法》</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被征收房屋评估</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分户的评估结果。</w:t>
            </w:r>
          </w:p>
        </w:tc>
        <w:tc>
          <w:tcPr>
            <w:tcW w:w="32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《内蒙古自治区国有土地上房屋征收与补偿条例》</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《包头市国有土地上房屋征收与补偿办法》</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continue"/>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货币</w:t>
            </w:r>
            <w:r>
              <w:rPr>
                <w:rFonts w:hint="eastAsia" w:ascii="仿宋_GB2312" w:hAnsi="宋体" w:eastAsia="仿宋_GB2312"/>
                <w:color w:val="000000"/>
                <w:sz w:val="18"/>
                <w:szCs w:val="18"/>
              </w:rPr>
              <w:t>补偿</w:t>
            </w:r>
            <w:r>
              <w:rPr>
                <w:rFonts w:hint="eastAsia" w:ascii="仿宋_GB2312" w:hAnsi="宋体" w:eastAsia="仿宋_GB2312"/>
                <w:color w:val="000000"/>
                <w:sz w:val="18"/>
                <w:szCs w:val="18"/>
                <w:lang w:eastAsia="zh-CN"/>
              </w:rPr>
              <w:t>与产权调换</w:t>
            </w:r>
            <w:r>
              <w:rPr>
                <w:rFonts w:hint="eastAsia" w:ascii="仿宋_GB2312" w:hAnsi="宋体" w:eastAsia="仿宋_GB2312"/>
                <w:color w:val="000000"/>
                <w:sz w:val="18"/>
                <w:szCs w:val="18"/>
              </w:rPr>
              <w:t>。</w:t>
            </w:r>
          </w:p>
        </w:tc>
        <w:tc>
          <w:tcPr>
            <w:tcW w:w="32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《国有土地上房屋征收与补偿条例》；</w:t>
            </w:r>
            <w:r>
              <w:rPr>
                <w:rFonts w:hint="eastAsia" w:ascii="仿宋_GB2312" w:hAnsi="宋体" w:eastAsia="仿宋_GB2312"/>
                <w:color w:val="000000"/>
                <w:sz w:val="18"/>
                <w:szCs w:val="18"/>
                <w:lang w:eastAsia="zh-CN"/>
              </w:rPr>
              <w:t>《内蒙古自治区国有土地上房屋征收与补偿条例》</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《包头市国有土地上房屋征收与补偿办法》</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《国有土地上房屋征收与补偿条例》；</w:t>
            </w:r>
            <w:r>
              <w:rPr>
                <w:rFonts w:hint="eastAsia" w:ascii="仿宋_GB2312" w:hAnsi="宋体" w:eastAsia="仿宋_GB2312"/>
                <w:color w:val="000000"/>
                <w:sz w:val="18"/>
                <w:szCs w:val="18"/>
                <w:lang w:eastAsia="zh-CN"/>
              </w:rPr>
              <w:t>《内蒙古自治区国有土地上房屋征收与补偿条例》</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《包头市国有土地上房屋征收与补偿办法》</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县（区、市）房屋征收部门</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房屋征收补偿决定</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房屋征收补偿方案</w:t>
            </w:r>
          </w:p>
        </w:tc>
        <w:tc>
          <w:tcPr>
            <w:tcW w:w="32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《国有土地上房屋征收与补偿条例》；</w:t>
            </w:r>
            <w:r>
              <w:rPr>
                <w:rFonts w:hint="eastAsia" w:ascii="仿宋_GB2312" w:hAnsi="宋体" w:eastAsia="仿宋_GB2312"/>
                <w:color w:val="000000"/>
                <w:sz w:val="18"/>
                <w:szCs w:val="18"/>
                <w:lang w:eastAsia="zh-CN"/>
              </w:rPr>
              <w:t>《内蒙古自治区国有土地上房屋征收与补偿条例》</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《包头市国有土地上房屋征收与补偿办法》</w:t>
            </w:r>
          </w:p>
        </w:tc>
        <w:tc>
          <w:tcPr>
            <w:tcW w:w="126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县（区、市）人民政府</w:t>
            </w:r>
          </w:p>
        </w:tc>
        <w:tc>
          <w:tcPr>
            <w:tcW w:w="108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jc w:val="center"/>
        <w:rPr>
          <w:rFonts w:ascii="Times New Roman" w:hAnsi="Times New Roman" w:eastAsia="方正小标宋_GBK"/>
          <w:sz w:val="30"/>
          <w:szCs w:val="30"/>
        </w:rPr>
      </w:pPr>
    </w:p>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D3E891"/>
    <w:multiLevelType w:val="singleLevel"/>
    <w:tmpl w:val="A2D3E89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E0878"/>
    <w:rsid w:val="003B2C77"/>
    <w:rsid w:val="004077CB"/>
    <w:rsid w:val="00416393"/>
    <w:rsid w:val="00612901"/>
    <w:rsid w:val="008438B0"/>
    <w:rsid w:val="00902A01"/>
    <w:rsid w:val="00A41EEC"/>
    <w:rsid w:val="00AA6B60"/>
    <w:rsid w:val="00B56955"/>
    <w:rsid w:val="00BC6F6E"/>
    <w:rsid w:val="00C3715A"/>
    <w:rsid w:val="00FA002F"/>
    <w:rsid w:val="01C70417"/>
    <w:rsid w:val="02435005"/>
    <w:rsid w:val="3E9B7F9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semiHidden/>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uiPriority w:val="0"/>
    <w:rPr>
      <w:rFonts w:ascii="Calibri" w:hAnsi="Calibri" w:eastAsia="宋体" w:cs="Times New Roman"/>
    </w:rPr>
  </w:style>
  <w:style w:type="character" w:customStyle="1" w:styleId="18">
    <w:name w:val="批注主题 字符"/>
    <w:basedOn w:val="17"/>
    <w:link w:val="8"/>
    <w:semiHidden/>
    <w:uiPriority w:val="0"/>
    <w:rPr>
      <w:rFonts w:ascii="Calibri" w:hAnsi="Calibri" w:eastAsia="宋体" w:cs="Times New Roman"/>
      <w:b/>
      <w:bCs/>
    </w:rPr>
  </w:style>
  <w:style w:type="character" w:customStyle="1" w:styleId="19">
    <w:name w:val="批注框文本 字符"/>
    <w:basedOn w:val="11"/>
    <w:link w:val="4"/>
    <w:semiHidden/>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687186-4C4E-4A24-BF18-B5FDD7820317}">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303</Words>
  <Characters>1733</Characters>
  <Lines>14</Lines>
  <Paragraphs>4</Paragraphs>
  <TotalTime>1</TotalTime>
  <ScaleCrop>false</ScaleCrop>
  <LinksUpToDate>false</LinksUpToDate>
  <CharactersWithSpaces>2032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2020-03-06T07:05:00Z</dcterms:created>
  <dc:creator>tai yuzhu</dc:creator>
  <cp:lastModifiedBy>吞云鲸</cp:lastModifiedBy>
  <dcterms:modified xsi:type="dcterms:W3CDTF">2025-03-31T09:07:17Z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