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_GBK" w:hAnsi="方正小标宋_GBK" w:eastAsia="方正小标宋_GBK"/>
          <w:b w:val="0"/>
          <w:bCs w:val="0"/>
          <w:sz w:val="30"/>
        </w:rPr>
      </w:pPr>
      <w:r>
        <w:rPr>
          <w:rFonts w:hint="eastAsia" w:ascii="方正小标宋_GBK" w:hAnsi="方正小标宋_GBK" w:eastAsia="方正小标宋_GBK"/>
          <w:b w:val="0"/>
          <w:bCs w:val="0"/>
          <w:sz w:val="30"/>
        </w:rPr>
        <w:t>农村危房改造领域基层政务公开标准目录</w:t>
      </w:r>
    </w:p>
    <w:tbl>
      <w:tblPr>
        <w:tblStyle w:val="9"/>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800"/>
        <w:gridCol w:w="1402"/>
        <w:gridCol w:w="1440"/>
        <w:gridCol w:w="2018"/>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540" w:type="dxa"/>
            <w:vMerge w:val="restart"/>
            <w:shd w:val="clear" w:color="auto" w:fill="auto"/>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02"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018" w:type="dxa"/>
            <w:vMerge w:val="restart"/>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1" w:hRule="atLeast"/>
        </w:trPr>
        <w:tc>
          <w:tcPr>
            <w:tcW w:w="540" w:type="dxa"/>
            <w:vMerge w:val="continue"/>
            <w:vAlign w:val="center"/>
          </w:tcPr>
          <w:p>
            <w:pPr>
              <w:widowControl/>
              <w:jc w:val="left"/>
              <w:rPr>
                <w:rFonts w:ascii="Times New Roman" w:hAnsi="Times New Roman"/>
                <w:color w:val="000000"/>
                <w:kern w:val="0"/>
                <w:sz w:val="22"/>
              </w:rPr>
            </w:pPr>
          </w:p>
        </w:tc>
        <w:tc>
          <w:tcPr>
            <w:tcW w:w="90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vAlign w:val="center"/>
          </w:tcPr>
          <w:p>
            <w:pPr>
              <w:widowControl/>
              <w:jc w:val="left"/>
              <w:rPr>
                <w:rFonts w:ascii="黑体" w:hAnsi="宋体" w:eastAsia="黑体" w:cs="宋体"/>
                <w:color w:val="000000"/>
                <w:kern w:val="0"/>
                <w:sz w:val="22"/>
              </w:rPr>
            </w:pPr>
          </w:p>
        </w:tc>
        <w:tc>
          <w:tcPr>
            <w:tcW w:w="1800" w:type="dxa"/>
            <w:vMerge w:val="continue"/>
            <w:vAlign w:val="center"/>
          </w:tcPr>
          <w:p>
            <w:pPr>
              <w:widowControl/>
              <w:jc w:val="left"/>
              <w:rPr>
                <w:rFonts w:ascii="黑体" w:hAnsi="宋体" w:eastAsia="黑体" w:cs="宋体"/>
                <w:color w:val="000000"/>
                <w:kern w:val="0"/>
                <w:sz w:val="22"/>
              </w:rPr>
            </w:pPr>
          </w:p>
        </w:tc>
        <w:tc>
          <w:tcPr>
            <w:tcW w:w="1402" w:type="dxa"/>
            <w:vMerge w:val="continue"/>
            <w:vAlign w:val="center"/>
          </w:tcPr>
          <w:p>
            <w:pPr>
              <w:widowControl/>
              <w:jc w:val="left"/>
              <w:rPr>
                <w:rFonts w:ascii="黑体" w:hAnsi="宋体" w:eastAsia="黑体" w:cs="宋体"/>
                <w:color w:val="000000"/>
                <w:kern w:val="0"/>
                <w:sz w:val="22"/>
              </w:rPr>
            </w:pPr>
          </w:p>
        </w:tc>
        <w:tc>
          <w:tcPr>
            <w:tcW w:w="1440" w:type="dxa"/>
            <w:vMerge w:val="continue"/>
            <w:vAlign w:val="center"/>
          </w:tcPr>
          <w:p>
            <w:pPr>
              <w:widowControl/>
              <w:jc w:val="left"/>
              <w:rPr>
                <w:rFonts w:ascii="黑体" w:hAnsi="宋体" w:eastAsia="黑体" w:cs="宋体"/>
                <w:color w:val="000000"/>
                <w:kern w:val="0"/>
                <w:sz w:val="22"/>
              </w:rPr>
            </w:pPr>
          </w:p>
        </w:tc>
        <w:tc>
          <w:tcPr>
            <w:tcW w:w="2018" w:type="dxa"/>
            <w:vMerge w:val="continue"/>
            <w:vAlign w:val="center"/>
          </w:tcPr>
          <w:p>
            <w:pPr>
              <w:widowControl/>
              <w:jc w:val="left"/>
              <w:rPr>
                <w:rFonts w:ascii="黑体" w:hAnsi="宋体" w:eastAsia="黑体" w:cs="宋体"/>
                <w:kern w:val="0"/>
                <w:sz w:val="22"/>
              </w:rPr>
            </w:pP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ascii="Times New Roman" w:hAnsi="Times New Roman" w:eastAsia="宋体"/>
                <w:color w:val="000000"/>
                <w:kern w:val="0"/>
                <w:sz w:val="16"/>
                <w:szCs w:val="16"/>
                <w:lang w:val="en-US" w:eastAsia="zh-CN"/>
              </w:rPr>
            </w:pPr>
            <w:r>
              <w:rPr>
                <w:rFonts w:hint="eastAsia" w:ascii="Times New Roman" w:hAnsi="Times New Roman"/>
                <w:color w:val="000000"/>
                <w:kern w:val="0"/>
                <w:sz w:val="16"/>
                <w:szCs w:val="16"/>
                <w:lang w:val="en-US" w:eastAsia="zh-CN"/>
              </w:rPr>
              <w:t>1</w:t>
            </w:r>
          </w:p>
        </w:tc>
        <w:tc>
          <w:tcPr>
            <w:tcW w:w="90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部门文件</w:t>
            </w:r>
          </w:p>
        </w:tc>
        <w:tc>
          <w:tcPr>
            <w:tcW w:w="126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农村危房改造相关文件</w:t>
            </w:r>
          </w:p>
        </w:tc>
        <w:tc>
          <w:tcPr>
            <w:tcW w:w="1980" w:type="dxa"/>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rPr>
              <w:t>文件分类、生成日期、标题、文号、有效性、关键词和具体内容等</w:t>
            </w:r>
          </w:p>
        </w:tc>
        <w:tc>
          <w:tcPr>
            <w:tcW w:w="1800" w:type="dxa"/>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、《关于全面推进政务公开工作的意见》及其实施细则</w:t>
            </w:r>
          </w:p>
        </w:tc>
        <w:tc>
          <w:tcPr>
            <w:tcW w:w="1402" w:type="dxa"/>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rPr>
              <w:t>信息形成之日起20个工作日内</w:t>
            </w:r>
          </w:p>
        </w:tc>
        <w:tc>
          <w:tcPr>
            <w:tcW w:w="1440" w:type="dxa"/>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rPr>
              <w:t>区住房和城乡建设局</w:t>
            </w:r>
          </w:p>
        </w:tc>
        <w:tc>
          <w:tcPr>
            <w:tcW w:w="2018" w:type="dxa"/>
            <w:vAlign w:val="center"/>
          </w:tcPr>
          <w:p>
            <w:pPr>
              <w:widowControl/>
              <w:rPr>
                <w:rFonts w:ascii="黑体" w:hAnsi="宋体" w:eastAsia="黑体" w:cs="宋体"/>
                <w:kern w:val="0"/>
                <w:sz w:val="22"/>
              </w:rPr>
            </w:pPr>
            <w:r>
              <w:rPr>
                <w:rFonts w:hint="eastAsia" w:ascii="仿宋_GB2312" w:hAnsi="宋体" w:eastAsia="仿宋_GB2312"/>
                <w:color w:val="000000"/>
                <w:sz w:val="18"/>
                <w:szCs w:val="18"/>
              </w:rPr>
              <w:t>政府网站和办事大厅</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hint="eastAsia" w:ascii="仿宋_GB2312" w:hAnsi="宋体" w:eastAsia="仿宋_GB2312"/>
                <w:color w:val="000000"/>
                <w:sz w:val="18"/>
                <w:szCs w:val="18"/>
              </w:rPr>
            </w:pPr>
          </w:p>
        </w:tc>
        <w:tc>
          <w:tcPr>
            <w:tcW w:w="55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42" w:hRule="atLeast"/>
        </w:trPr>
        <w:tc>
          <w:tcPr>
            <w:tcW w:w="540" w:type="dxa"/>
            <w:vAlign w:val="center"/>
          </w:tcPr>
          <w:p>
            <w:pPr>
              <w:widowControl/>
              <w:jc w:val="center"/>
              <w:rPr>
                <w:rFonts w:hint="eastAsia" w:ascii="Times New Roman" w:hAnsi="Times New Roman" w:eastAsia="宋体"/>
                <w:color w:val="000000"/>
                <w:kern w:val="0"/>
                <w:sz w:val="16"/>
                <w:szCs w:val="16"/>
                <w:lang w:val="en-US" w:eastAsia="zh-CN"/>
              </w:rPr>
            </w:pPr>
            <w:r>
              <w:rPr>
                <w:rFonts w:hint="eastAsia" w:ascii="Times New Roman" w:hAnsi="Times New Roman"/>
                <w:color w:val="000000"/>
                <w:kern w:val="0"/>
                <w:sz w:val="16"/>
                <w:szCs w:val="16"/>
                <w:lang w:val="en-US" w:eastAsia="zh-CN"/>
              </w:rPr>
              <w:t>2</w:t>
            </w:r>
          </w:p>
        </w:tc>
        <w:tc>
          <w:tcPr>
            <w:tcW w:w="90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6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上级政策解读</w:t>
            </w:r>
          </w:p>
        </w:tc>
        <w:tc>
          <w:tcPr>
            <w:tcW w:w="1980" w:type="dxa"/>
            <w:vMerge w:val="restart"/>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着重解读政策措施的背景依据、目标任务、主要内容、涉及范围、执行标准，以及注意事项、关键词诠释、惠民利民举措、新旧政策差异等。</w:t>
            </w:r>
          </w:p>
        </w:tc>
        <w:tc>
          <w:tcPr>
            <w:tcW w:w="1800" w:type="dxa"/>
            <w:vMerge w:val="restart"/>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、《关于全面推进政务公开工作的意见》及其实施细则</w:t>
            </w:r>
          </w:p>
        </w:tc>
        <w:tc>
          <w:tcPr>
            <w:tcW w:w="1402" w:type="dxa"/>
            <w:vMerge w:val="restart"/>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w:t>
            </w:r>
            <w:bookmarkStart w:id="0" w:name="_GoBack"/>
            <w:bookmarkEnd w:id="0"/>
            <w:r>
              <w:rPr>
                <w:rFonts w:hint="eastAsia" w:ascii="仿宋_GB2312" w:hAnsi="宋体" w:eastAsia="仿宋_GB2312"/>
                <w:color w:val="000000"/>
                <w:sz w:val="18"/>
                <w:szCs w:val="18"/>
              </w:rPr>
              <w:t>之日起20个工作日内</w:t>
            </w:r>
          </w:p>
        </w:tc>
        <w:tc>
          <w:tcPr>
            <w:tcW w:w="1440" w:type="dxa"/>
            <w:vMerge w:val="restart"/>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区住房和城乡建设局</w:t>
            </w:r>
          </w:p>
        </w:tc>
        <w:tc>
          <w:tcPr>
            <w:tcW w:w="2018" w:type="dxa"/>
            <w:vMerge w:val="restart"/>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政府网站和办事大厅</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pPr>
              <w:jc w:val="center"/>
              <w:rPr>
                <w:rFonts w:hint="eastAsia" w:ascii="仿宋_GB2312" w:hAnsi="宋体" w:eastAsia="仿宋_GB2312"/>
                <w:color w:val="000000"/>
                <w:sz w:val="18"/>
                <w:szCs w:val="18"/>
              </w:rPr>
            </w:pPr>
          </w:p>
        </w:tc>
        <w:tc>
          <w:tcPr>
            <w:tcW w:w="551"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2" w:hRule="atLeast"/>
        </w:trPr>
        <w:tc>
          <w:tcPr>
            <w:tcW w:w="540" w:type="dxa"/>
            <w:vAlign w:val="center"/>
          </w:tcPr>
          <w:p>
            <w:pPr>
              <w:widowControl/>
              <w:jc w:val="center"/>
              <w:rPr>
                <w:rFonts w:hint="default" w:ascii="Times New Roman" w:hAnsi="Times New Roman" w:eastAsia="宋体"/>
                <w:color w:val="000000"/>
                <w:kern w:val="0"/>
                <w:sz w:val="16"/>
                <w:szCs w:val="16"/>
                <w:lang w:val="en-US" w:eastAsia="zh-CN"/>
              </w:rPr>
            </w:pPr>
            <w:r>
              <w:rPr>
                <w:rFonts w:hint="eastAsia" w:ascii="Times New Roman" w:hAnsi="Times New Roman"/>
                <w:color w:val="000000"/>
                <w:kern w:val="0"/>
                <w:sz w:val="16"/>
                <w:szCs w:val="16"/>
                <w:lang w:val="en-US" w:eastAsia="zh-CN"/>
              </w:rPr>
              <w:t>3</w:t>
            </w:r>
          </w:p>
        </w:tc>
        <w:tc>
          <w:tcPr>
            <w:tcW w:w="900" w:type="dxa"/>
            <w:vMerge w:val="continue"/>
            <w:shd w:val="clear" w:color="auto" w:fill="auto"/>
            <w:vAlign w:val="center"/>
          </w:tcPr>
          <w:p>
            <w:pPr>
              <w:jc w:val="center"/>
              <w:rPr>
                <w:rFonts w:hint="eastAsia" w:ascii="仿宋_GB2312" w:hAnsi="宋体" w:eastAsia="仿宋_GB2312"/>
                <w:color w:val="000000"/>
                <w:sz w:val="18"/>
                <w:szCs w:val="18"/>
              </w:rPr>
            </w:pPr>
          </w:p>
        </w:tc>
        <w:tc>
          <w:tcPr>
            <w:tcW w:w="126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1980" w:type="dxa"/>
            <w:vMerge w:val="continue"/>
            <w:vAlign w:val="center"/>
          </w:tcPr>
          <w:p>
            <w:pPr>
              <w:widowControl/>
              <w:rPr>
                <w:rFonts w:hint="eastAsia" w:ascii="仿宋_GB2312" w:hAnsi="宋体" w:eastAsia="仿宋_GB2312"/>
                <w:color w:val="000000"/>
                <w:sz w:val="18"/>
                <w:szCs w:val="18"/>
              </w:rPr>
            </w:pPr>
          </w:p>
        </w:tc>
        <w:tc>
          <w:tcPr>
            <w:tcW w:w="1800" w:type="dxa"/>
            <w:vMerge w:val="continue"/>
            <w:vAlign w:val="center"/>
          </w:tcPr>
          <w:p>
            <w:pPr>
              <w:widowControl/>
              <w:rPr>
                <w:rFonts w:hint="eastAsia" w:ascii="仿宋_GB2312" w:hAnsi="宋体" w:eastAsia="仿宋_GB2312"/>
                <w:color w:val="000000"/>
                <w:sz w:val="18"/>
                <w:szCs w:val="18"/>
              </w:rPr>
            </w:pPr>
          </w:p>
        </w:tc>
        <w:tc>
          <w:tcPr>
            <w:tcW w:w="1402" w:type="dxa"/>
            <w:vMerge w:val="continue"/>
            <w:vAlign w:val="center"/>
          </w:tcPr>
          <w:p>
            <w:pPr>
              <w:widowControl/>
              <w:rPr>
                <w:rFonts w:hint="eastAsia" w:ascii="仿宋_GB2312" w:hAnsi="宋体" w:eastAsia="仿宋_GB2312"/>
                <w:color w:val="000000"/>
                <w:sz w:val="18"/>
                <w:szCs w:val="18"/>
              </w:rPr>
            </w:pPr>
          </w:p>
        </w:tc>
        <w:tc>
          <w:tcPr>
            <w:tcW w:w="1440" w:type="dxa"/>
            <w:vMerge w:val="continue"/>
            <w:vAlign w:val="center"/>
          </w:tcPr>
          <w:p>
            <w:pPr>
              <w:widowControl/>
              <w:rPr>
                <w:rFonts w:hint="eastAsia" w:ascii="仿宋_GB2312" w:hAnsi="宋体" w:eastAsia="仿宋_GB2312"/>
                <w:color w:val="000000"/>
                <w:sz w:val="18"/>
                <w:szCs w:val="18"/>
              </w:rPr>
            </w:pPr>
          </w:p>
        </w:tc>
        <w:tc>
          <w:tcPr>
            <w:tcW w:w="2018" w:type="dxa"/>
            <w:vMerge w:val="continue"/>
            <w:vAlign w:val="center"/>
          </w:tcPr>
          <w:p>
            <w:pPr>
              <w:widowControl/>
              <w:rPr>
                <w:rFonts w:hint="eastAsia" w:ascii="仿宋_GB2312" w:hAnsi="宋体" w:eastAsia="仿宋_GB2312"/>
                <w:color w:val="000000"/>
                <w:sz w:val="18"/>
                <w:szCs w:val="18"/>
              </w:rPr>
            </w:pP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c>
          <w:tcPr>
            <w:tcW w:w="709" w:type="dxa"/>
            <w:vMerge w:val="continue"/>
            <w:shd w:val="clear" w:color="auto" w:fill="auto"/>
            <w:vAlign w:val="center"/>
          </w:tcPr>
          <w:p>
            <w:pPr>
              <w:jc w:val="center"/>
              <w:rPr>
                <w:rFonts w:hint="eastAsia" w:ascii="仿宋_GB2312" w:hAnsi="宋体" w:eastAsia="仿宋_GB2312"/>
                <w:color w:val="000000"/>
                <w:sz w:val="18"/>
                <w:szCs w:val="18"/>
              </w:rPr>
            </w:pPr>
          </w:p>
        </w:tc>
        <w:tc>
          <w:tcPr>
            <w:tcW w:w="551" w:type="dxa"/>
            <w:vMerge w:val="continue"/>
            <w:shd w:val="clear" w:color="auto" w:fill="auto"/>
            <w:vAlign w:val="center"/>
          </w:tcPr>
          <w:p>
            <w:pPr>
              <w:jc w:val="center"/>
              <w:rPr>
                <w:rFonts w:hint="eastAsia" w:ascii="仿宋_GB2312" w:hAnsi="宋体" w:eastAsia="仿宋_GB2312"/>
                <w:color w:val="000000"/>
                <w:sz w:val="18"/>
                <w:szCs w:val="18"/>
              </w:rPr>
            </w:pP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5" w:hRule="atLeast"/>
        </w:trPr>
        <w:tc>
          <w:tcPr>
            <w:tcW w:w="540" w:type="dxa"/>
            <w:vAlign w:val="center"/>
          </w:tcPr>
          <w:p>
            <w:pPr>
              <w:widowControl/>
              <w:jc w:val="center"/>
              <w:rPr>
                <w:rFonts w:hint="eastAsia" w:ascii="Times New Roman" w:hAnsi="Times New Roman" w:eastAsia="宋体"/>
                <w:color w:val="000000"/>
                <w:kern w:val="0"/>
                <w:sz w:val="16"/>
                <w:szCs w:val="16"/>
                <w:lang w:val="en-US" w:eastAsia="zh-CN"/>
              </w:rPr>
            </w:pPr>
            <w:r>
              <w:rPr>
                <w:rFonts w:hint="eastAsia" w:ascii="Times New Roman" w:hAnsi="Times New Roman"/>
                <w:color w:val="000000"/>
                <w:kern w:val="0"/>
                <w:sz w:val="16"/>
                <w:szCs w:val="16"/>
                <w:lang w:val="en-US" w:eastAsia="zh-CN"/>
              </w:rPr>
              <w:t>4</w:t>
            </w:r>
          </w:p>
        </w:tc>
        <w:tc>
          <w:tcPr>
            <w:tcW w:w="90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计划实施</w:t>
            </w:r>
          </w:p>
        </w:tc>
        <w:tc>
          <w:tcPr>
            <w:tcW w:w="126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组织培训</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组织开展农村建筑工匠培训文件</w:t>
            </w:r>
          </w:p>
        </w:tc>
        <w:tc>
          <w:tcPr>
            <w:tcW w:w="1800" w:type="dxa"/>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《住房城乡建设部 财政部 国务院扶贫办关于加强和完善建档立卡贫困户等重点对象农村危房改造若干问题的通知》等</w:t>
            </w:r>
          </w:p>
        </w:tc>
        <w:tc>
          <w:tcPr>
            <w:tcW w:w="140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区住房和城乡建设局</w:t>
            </w:r>
          </w:p>
        </w:tc>
        <w:tc>
          <w:tcPr>
            <w:tcW w:w="201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政府网站和办事大厅</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hint="eastAsia" w:ascii="仿宋_GB2312" w:hAnsi="宋体" w:eastAsia="仿宋_GB2312"/>
                <w:color w:val="000000"/>
                <w:sz w:val="18"/>
                <w:szCs w:val="18"/>
              </w:rPr>
            </w:pPr>
          </w:p>
        </w:tc>
        <w:tc>
          <w:tcPr>
            <w:tcW w:w="55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ascii="Times New Roman" w:hAnsi="Times New Roman" w:eastAsia="宋体"/>
                <w:color w:val="000000"/>
                <w:kern w:val="0"/>
                <w:sz w:val="16"/>
                <w:szCs w:val="16"/>
                <w:lang w:val="en-US" w:eastAsia="zh-CN"/>
              </w:rPr>
            </w:pPr>
            <w:r>
              <w:rPr>
                <w:rFonts w:hint="eastAsia" w:ascii="Times New Roman" w:hAnsi="Times New Roman"/>
                <w:color w:val="000000"/>
                <w:kern w:val="0"/>
                <w:sz w:val="16"/>
                <w:szCs w:val="16"/>
                <w:lang w:val="en-US" w:eastAsia="zh-CN"/>
              </w:rPr>
              <w:t>5</w:t>
            </w:r>
          </w:p>
        </w:tc>
        <w:tc>
          <w:tcPr>
            <w:tcW w:w="90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农村危房等级评定标准</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农村危房等级评定相关标准</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《预算法》、</w:t>
            </w: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、《住房城乡建设部 财政部关于印发农村危房改造脱贫攻坚三年行动方案的通知》、《住房城乡建设部 财政部 国务院扶贫办关于加强和完善建档立卡贫困户等重点对象农村危房改造若干问题的通知》等</w:t>
            </w:r>
          </w:p>
        </w:tc>
        <w:tc>
          <w:tcPr>
            <w:tcW w:w="140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区住房和城乡建设局</w:t>
            </w:r>
          </w:p>
        </w:tc>
        <w:tc>
          <w:tcPr>
            <w:tcW w:w="201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政府网站和办事大厅</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hint="eastAsia" w:ascii="仿宋_GB2312" w:hAnsi="宋体" w:eastAsia="仿宋_GB2312"/>
                <w:color w:val="000000"/>
                <w:sz w:val="18"/>
                <w:szCs w:val="18"/>
              </w:rPr>
            </w:pPr>
          </w:p>
        </w:tc>
        <w:tc>
          <w:tcPr>
            <w:tcW w:w="55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ascii="Times New Roman" w:hAnsi="Times New Roman" w:eastAsia="宋体"/>
                <w:color w:val="000000"/>
                <w:kern w:val="0"/>
                <w:sz w:val="16"/>
                <w:szCs w:val="16"/>
                <w:lang w:val="en-US" w:eastAsia="zh-CN"/>
              </w:rPr>
            </w:pPr>
            <w:r>
              <w:rPr>
                <w:rFonts w:hint="eastAsia" w:ascii="Times New Roman" w:hAnsi="Times New Roman"/>
                <w:color w:val="000000"/>
                <w:kern w:val="0"/>
                <w:sz w:val="16"/>
                <w:szCs w:val="16"/>
                <w:lang w:val="en-US" w:eastAsia="zh-CN"/>
              </w:rPr>
              <w:t>6</w:t>
            </w:r>
          </w:p>
        </w:tc>
        <w:tc>
          <w:tcPr>
            <w:tcW w:w="900" w:type="dxa"/>
            <w:vMerge w:val="continue"/>
            <w:shd w:val="clear" w:color="auto" w:fill="auto"/>
            <w:vAlign w:val="center"/>
          </w:tcPr>
          <w:p>
            <w:pPr>
              <w:jc w:val="center"/>
              <w:rPr>
                <w:rFonts w:hint="eastAsia" w:ascii="仿宋_GB2312" w:hAnsi="宋体" w:eastAsia="仿宋_GB2312"/>
                <w:color w:val="000000"/>
                <w:sz w:val="18"/>
                <w:szCs w:val="18"/>
              </w:rPr>
            </w:pPr>
          </w:p>
        </w:tc>
        <w:tc>
          <w:tcPr>
            <w:tcW w:w="126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农村危房改造对象申请条件</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农村危房改造农户申请条件</w:t>
            </w:r>
          </w:p>
        </w:tc>
        <w:tc>
          <w:tcPr>
            <w:tcW w:w="180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区住房和城乡建设局</w:t>
            </w:r>
          </w:p>
        </w:tc>
        <w:tc>
          <w:tcPr>
            <w:tcW w:w="201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政府网站和办事大厅</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hint="eastAsia" w:ascii="仿宋_GB2312" w:hAnsi="宋体" w:eastAsia="仿宋_GB2312"/>
                <w:color w:val="000000"/>
                <w:sz w:val="18"/>
                <w:szCs w:val="18"/>
              </w:rPr>
            </w:pPr>
          </w:p>
        </w:tc>
        <w:tc>
          <w:tcPr>
            <w:tcW w:w="55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ascii="Times New Roman" w:hAnsi="Times New Roman" w:eastAsia="宋体"/>
                <w:color w:val="000000"/>
                <w:kern w:val="0"/>
                <w:sz w:val="16"/>
                <w:szCs w:val="16"/>
                <w:lang w:val="en-US" w:eastAsia="zh-CN"/>
              </w:rPr>
            </w:pPr>
            <w:r>
              <w:rPr>
                <w:rFonts w:hint="eastAsia" w:ascii="Times New Roman" w:hAnsi="Times New Roman"/>
                <w:color w:val="000000"/>
                <w:kern w:val="0"/>
                <w:sz w:val="16"/>
                <w:szCs w:val="16"/>
                <w:lang w:val="en-US" w:eastAsia="zh-CN"/>
              </w:rPr>
              <w:t>7</w:t>
            </w:r>
          </w:p>
        </w:tc>
        <w:tc>
          <w:tcPr>
            <w:tcW w:w="90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180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区住房和城乡建设局</w:t>
            </w:r>
          </w:p>
        </w:tc>
        <w:tc>
          <w:tcPr>
            <w:tcW w:w="201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政府网站和办事大厅</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hint="eastAsia" w:ascii="仿宋_GB2312" w:hAnsi="宋体" w:eastAsia="仿宋_GB2312"/>
                <w:color w:val="000000"/>
                <w:sz w:val="18"/>
                <w:szCs w:val="18"/>
              </w:rPr>
            </w:pPr>
          </w:p>
        </w:tc>
        <w:tc>
          <w:tcPr>
            <w:tcW w:w="55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ascii="Times New Roman" w:hAnsi="Times New Roman" w:eastAsia="宋体"/>
                <w:color w:val="000000"/>
                <w:kern w:val="0"/>
                <w:sz w:val="16"/>
                <w:szCs w:val="16"/>
                <w:lang w:val="en-US" w:eastAsia="zh-CN"/>
              </w:rPr>
            </w:pPr>
            <w:r>
              <w:rPr>
                <w:rFonts w:hint="eastAsia" w:ascii="Times New Roman" w:hAnsi="Times New Roman"/>
                <w:color w:val="000000"/>
                <w:kern w:val="0"/>
                <w:sz w:val="16"/>
                <w:szCs w:val="16"/>
                <w:lang w:val="en-US" w:eastAsia="zh-CN"/>
              </w:rPr>
              <w:t>8</w:t>
            </w:r>
          </w:p>
        </w:tc>
        <w:tc>
          <w:tcPr>
            <w:tcW w:w="900" w:type="dxa"/>
            <w:vMerge w:val="continue"/>
            <w:shd w:val="clear" w:color="auto" w:fill="auto"/>
            <w:vAlign w:val="center"/>
          </w:tcPr>
          <w:p>
            <w:pPr>
              <w:jc w:val="center"/>
              <w:rPr>
                <w:rFonts w:hint="eastAsia" w:ascii="仿宋_GB2312" w:hAnsi="宋体" w:eastAsia="仿宋_GB2312"/>
                <w:color w:val="000000"/>
                <w:sz w:val="18"/>
                <w:szCs w:val="18"/>
              </w:rPr>
            </w:pPr>
          </w:p>
        </w:tc>
        <w:tc>
          <w:tcPr>
            <w:tcW w:w="126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农村危房改造竣工合格标准</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农村危房改造竣工验收要求</w:t>
            </w:r>
          </w:p>
        </w:tc>
        <w:tc>
          <w:tcPr>
            <w:tcW w:w="180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区住房和城乡建设局</w:t>
            </w:r>
          </w:p>
        </w:tc>
        <w:tc>
          <w:tcPr>
            <w:tcW w:w="201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政府网站和办事大厅</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hint="eastAsia" w:ascii="仿宋_GB2312" w:hAnsi="宋体" w:eastAsia="仿宋_GB2312"/>
                <w:color w:val="000000"/>
                <w:sz w:val="18"/>
                <w:szCs w:val="18"/>
              </w:rPr>
            </w:pPr>
          </w:p>
        </w:tc>
        <w:tc>
          <w:tcPr>
            <w:tcW w:w="55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6" w:hRule="atLeast"/>
        </w:trPr>
        <w:tc>
          <w:tcPr>
            <w:tcW w:w="540" w:type="dxa"/>
            <w:vAlign w:val="center"/>
          </w:tcPr>
          <w:p>
            <w:pPr>
              <w:widowControl/>
              <w:jc w:val="center"/>
              <w:rPr>
                <w:rFonts w:hint="eastAsia" w:ascii="Times New Roman" w:hAnsi="Times New Roman" w:eastAsia="宋体"/>
                <w:color w:val="000000"/>
                <w:kern w:val="0"/>
                <w:sz w:val="16"/>
                <w:szCs w:val="16"/>
                <w:lang w:val="en-US" w:eastAsia="zh-CN"/>
              </w:rPr>
            </w:pPr>
            <w:r>
              <w:rPr>
                <w:rFonts w:hint="eastAsia" w:ascii="Times New Roman" w:hAnsi="Times New Roman"/>
                <w:color w:val="000000"/>
                <w:kern w:val="0"/>
                <w:sz w:val="16"/>
                <w:szCs w:val="16"/>
                <w:lang w:val="en-US" w:eastAsia="zh-CN"/>
              </w:rPr>
              <w:t>9</w:t>
            </w:r>
          </w:p>
        </w:tc>
        <w:tc>
          <w:tcPr>
            <w:tcW w:w="90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对象认定</w:t>
            </w:r>
          </w:p>
        </w:tc>
        <w:tc>
          <w:tcPr>
            <w:tcW w:w="126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危改户认定程序</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农村危房改造申请程序</w:t>
            </w:r>
          </w:p>
        </w:tc>
        <w:tc>
          <w:tcPr>
            <w:tcW w:w="180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区住房和城乡建设局</w:t>
            </w:r>
          </w:p>
        </w:tc>
        <w:tc>
          <w:tcPr>
            <w:tcW w:w="201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政府网站和办事大厅</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hint="eastAsia" w:ascii="仿宋_GB2312" w:hAnsi="宋体" w:eastAsia="仿宋_GB2312"/>
                <w:color w:val="000000"/>
                <w:sz w:val="18"/>
                <w:szCs w:val="18"/>
              </w:rPr>
            </w:pPr>
          </w:p>
        </w:tc>
        <w:tc>
          <w:tcPr>
            <w:tcW w:w="55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default" w:ascii="Times New Roman" w:hAnsi="Times New Roman" w:eastAsia="宋体"/>
                <w:color w:val="000000"/>
                <w:kern w:val="0"/>
                <w:sz w:val="16"/>
                <w:szCs w:val="16"/>
                <w:lang w:val="en-US" w:eastAsia="zh-CN"/>
              </w:rPr>
            </w:pPr>
            <w:r>
              <w:rPr>
                <w:rFonts w:hint="eastAsia" w:ascii="Times New Roman" w:hAnsi="Times New Roman"/>
                <w:color w:val="000000"/>
                <w:kern w:val="0"/>
                <w:sz w:val="16"/>
                <w:szCs w:val="16"/>
                <w:lang w:val="en-US" w:eastAsia="zh-CN"/>
              </w:rPr>
              <w:t>10</w:t>
            </w:r>
          </w:p>
        </w:tc>
        <w:tc>
          <w:tcPr>
            <w:tcW w:w="90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决策部署</w:t>
            </w:r>
          </w:p>
        </w:tc>
        <w:tc>
          <w:tcPr>
            <w:tcW w:w="126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决策部署落实情况</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决策部署落实情况等</w:t>
            </w:r>
          </w:p>
        </w:tc>
        <w:tc>
          <w:tcPr>
            <w:tcW w:w="180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《关于全面推进政务公开工作的意见》及其实施细则</w:t>
            </w:r>
          </w:p>
        </w:tc>
        <w:tc>
          <w:tcPr>
            <w:tcW w:w="140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区住房和城乡建设局</w:t>
            </w:r>
          </w:p>
        </w:tc>
        <w:tc>
          <w:tcPr>
            <w:tcW w:w="201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政府网站和办事大厅</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hint="eastAsia" w:ascii="仿宋_GB2312" w:hAnsi="宋体" w:eastAsia="仿宋_GB2312"/>
                <w:color w:val="000000"/>
                <w:sz w:val="18"/>
                <w:szCs w:val="18"/>
              </w:rPr>
            </w:pPr>
          </w:p>
        </w:tc>
        <w:tc>
          <w:tcPr>
            <w:tcW w:w="55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default" w:ascii="Times New Roman" w:hAnsi="Times New Roman" w:eastAsia="宋体"/>
                <w:color w:val="000000"/>
                <w:kern w:val="0"/>
                <w:sz w:val="16"/>
                <w:szCs w:val="16"/>
                <w:lang w:val="en-US" w:eastAsia="zh-CN"/>
              </w:rPr>
            </w:pPr>
            <w:r>
              <w:rPr>
                <w:rFonts w:hint="eastAsia" w:ascii="Times New Roman" w:hAnsi="Times New Roman"/>
                <w:color w:val="000000"/>
                <w:kern w:val="0"/>
                <w:sz w:val="16"/>
                <w:szCs w:val="16"/>
                <w:lang w:val="en-US" w:eastAsia="zh-CN"/>
              </w:rPr>
              <w:t>11</w:t>
            </w:r>
          </w:p>
        </w:tc>
        <w:tc>
          <w:tcPr>
            <w:tcW w:w="90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年度任务实施</w:t>
            </w:r>
          </w:p>
        </w:tc>
        <w:tc>
          <w:tcPr>
            <w:tcW w:w="126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年度任务执行情况</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年度工作完成情况等</w:t>
            </w:r>
          </w:p>
        </w:tc>
        <w:tc>
          <w:tcPr>
            <w:tcW w:w="1800" w:type="dxa"/>
            <w:vMerge w:val="continue"/>
            <w:vAlign w:val="center"/>
          </w:tcPr>
          <w:p>
            <w:pPr>
              <w:rPr>
                <w:rFonts w:hint="eastAsia" w:ascii="仿宋_GB2312" w:hAnsi="宋体" w:eastAsia="仿宋_GB2312"/>
                <w:color w:val="000000"/>
                <w:sz w:val="18"/>
                <w:szCs w:val="18"/>
              </w:rPr>
            </w:pPr>
          </w:p>
        </w:tc>
        <w:tc>
          <w:tcPr>
            <w:tcW w:w="140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区住房和城乡建设局</w:t>
            </w:r>
          </w:p>
        </w:tc>
        <w:tc>
          <w:tcPr>
            <w:tcW w:w="201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政府网站和办事大厅</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hint="eastAsia" w:ascii="仿宋_GB2312" w:hAnsi="宋体" w:eastAsia="仿宋_GB2312"/>
                <w:color w:val="000000"/>
                <w:sz w:val="18"/>
                <w:szCs w:val="18"/>
              </w:rPr>
            </w:pPr>
          </w:p>
        </w:tc>
        <w:tc>
          <w:tcPr>
            <w:tcW w:w="55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40" w:hRule="atLeast"/>
        </w:trPr>
        <w:tc>
          <w:tcPr>
            <w:tcW w:w="540" w:type="dxa"/>
            <w:vAlign w:val="center"/>
          </w:tcPr>
          <w:p>
            <w:pPr>
              <w:widowControl/>
              <w:jc w:val="center"/>
              <w:rPr>
                <w:rFonts w:hint="default" w:ascii="Times New Roman" w:hAnsi="Times New Roman" w:eastAsia="宋体"/>
                <w:color w:val="000000"/>
                <w:kern w:val="0"/>
                <w:sz w:val="16"/>
                <w:szCs w:val="16"/>
                <w:lang w:val="en-US" w:eastAsia="zh-CN"/>
              </w:rPr>
            </w:pPr>
            <w:r>
              <w:rPr>
                <w:rFonts w:hint="eastAsia" w:ascii="Times New Roman" w:hAnsi="Times New Roman"/>
                <w:color w:val="000000"/>
                <w:kern w:val="0"/>
                <w:sz w:val="16"/>
                <w:szCs w:val="16"/>
                <w:lang w:val="en-US" w:eastAsia="zh-CN"/>
              </w:rPr>
              <w:t>12</w:t>
            </w:r>
          </w:p>
        </w:tc>
        <w:tc>
          <w:tcPr>
            <w:tcW w:w="90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舆情收集、热点及关键问题回应</w:t>
            </w:r>
          </w:p>
        </w:tc>
        <w:tc>
          <w:tcPr>
            <w:tcW w:w="126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舆情收集回应</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接受投诉、咨询、建议等联系电话、通信地址等</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、《关于全面推进政务公开工作的意见》及其实施细则</w:t>
            </w:r>
          </w:p>
        </w:tc>
        <w:tc>
          <w:tcPr>
            <w:tcW w:w="1402" w:type="dxa"/>
            <w:vAlign w:val="center"/>
          </w:tcPr>
          <w:p>
            <w:pPr>
              <w:ind w:right="-304" w:rightChars="-145"/>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w:t>
            </w:r>
          </w:p>
          <w:p>
            <w:pPr>
              <w:ind w:right="-304" w:rightChars="-145"/>
              <w:rPr>
                <w:rFonts w:hint="eastAsia" w:ascii="仿宋_GB2312" w:hAnsi="宋体" w:eastAsia="仿宋_GB2312"/>
                <w:color w:val="000000"/>
                <w:sz w:val="18"/>
                <w:szCs w:val="18"/>
              </w:rPr>
            </w:pPr>
            <w:r>
              <w:rPr>
                <w:rFonts w:hint="eastAsia" w:ascii="仿宋_GB2312" w:hAnsi="宋体" w:eastAsia="仿宋_GB2312"/>
                <w:color w:val="000000"/>
                <w:sz w:val="18"/>
                <w:szCs w:val="18"/>
              </w:rPr>
              <w:t>起20个工作日</w:t>
            </w:r>
          </w:p>
          <w:p>
            <w:pPr>
              <w:ind w:right="-304" w:rightChars="-145"/>
              <w:rPr>
                <w:rFonts w:hint="eastAsia" w:ascii="仿宋_GB2312" w:hAnsi="宋体" w:eastAsia="仿宋_GB2312"/>
                <w:color w:val="000000"/>
                <w:sz w:val="18"/>
                <w:szCs w:val="18"/>
              </w:rPr>
            </w:pPr>
            <w:r>
              <w:rPr>
                <w:rFonts w:hint="eastAsia" w:ascii="仿宋_GB2312" w:hAnsi="宋体" w:eastAsia="仿宋_GB2312"/>
                <w:color w:val="000000"/>
                <w:sz w:val="18"/>
                <w:szCs w:val="18"/>
              </w:rPr>
              <w:t>内</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区住房和城乡建设局</w:t>
            </w:r>
          </w:p>
        </w:tc>
        <w:tc>
          <w:tcPr>
            <w:tcW w:w="201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政府网站和办事大厅</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hint="eastAsia" w:ascii="仿宋_GB2312" w:hAnsi="宋体" w:eastAsia="仿宋_GB2312"/>
                <w:color w:val="000000"/>
                <w:sz w:val="18"/>
                <w:szCs w:val="18"/>
              </w:rPr>
            </w:pPr>
          </w:p>
        </w:tc>
        <w:tc>
          <w:tcPr>
            <w:tcW w:w="55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p>
        </w:tc>
      </w:tr>
    </w:tbl>
    <w:p>
      <w:pPr>
        <w:jc w:val="center"/>
        <w:rPr>
          <w:rFonts w:ascii="仿宋_GB2312" w:hAnsi="Times New Roman" w:eastAsia="仿宋_GB2312"/>
          <w:sz w:val="18"/>
          <w:szCs w:val="18"/>
        </w:rPr>
      </w:pPr>
    </w:p>
    <w:p/>
    <w:sectPr>
      <w:pgSz w:w="16838" w:h="11906" w:orient="landscape"/>
      <w:pgMar w:top="1236" w:right="1440" w:bottom="123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93"/>
    <w:rsid w:val="00146120"/>
    <w:rsid w:val="00190068"/>
    <w:rsid w:val="00193DB9"/>
    <w:rsid w:val="001E6D63"/>
    <w:rsid w:val="002967AA"/>
    <w:rsid w:val="002E0878"/>
    <w:rsid w:val="003B2C77"/>
    <w:rsid w:val="004077CB"/>
    <w:rsid w:val="00416393"/>
    <w:rsid w:val="00505CE0"/>
    <w:rsid w:val="00612901"/>
    <w:rsid w:val="008438B0"/>
    <w:rsid w:val="00902A01"/>
    <w:rsid w:val="00A41EEC"/>
    <w:rsid w:val="00AA6B60"/>
    <w:rsid w:val="00B56955"/>
    <w:rsid w:val="00C3715A"/>
    <w:rsid w:val="00FA002F"/>
    <w:rsid w:val="00FE0F57"/>
    <w:rsid w:val="090732BA"/>
    <w:rsid w:val="16246748"/>
    <w:rsid w:val="2CE564A1"/>
    <w:rsid w:val="37B35D46"/>
    <w:rsid w:val="4DC23FFB"/>
    <w:rsid w:val="53FF6EB5"/>
    <w:rsid w:val="70DE697B"/>
    <w:rsid w:val="74530453"/>
    <w:rsid w:val="7A2120E9"/>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nhideWhenUsed="0" w:uiPriority="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17"/>
    <w:semiHidden/>
    <w:qFormat/>
    <w:uiPriority w:val="0"/>
    <w:pPr>
      <w:jc w:val="left"/>
    </w:pPr>
  </w:style>
  <w:style w:type="paragraph" w:styleId="4">
    <w:name w:val="Balloon Text"/>
    <w:basedOn w:val="1"/>
    <w:link w:val="19"/>
    <w:semiHidden/>
    <w:qFormat/>
    <w:uiPriority w:val="0"/>
    <w:rPr>
      <w:sz w:val="18"/>
      <w:szCs w:val="18"/>
    </w:rPr>
  </w:style>
  <w:style w:type="paragraph" w:styleId="5">
    <w:name w:val="footer"/>
    <w:basedOn w:val="1"/>
    <w:link w:val="22"/>
    <w:qFormat/>
    <w:uiPriority w:val="0"/>
    <w:pPr>
      <w:tabs>
        <w:tab w:val="center" w:pos="4153"/>
        <w:tab w:val="right" w:pos="8306"/>
      </w:tabs>
      <w:snapToGrid w:val="0"/>
      <w:jc w:val="left"/>
    </w:pPr>
    <w:rPr>
      <w:sz w:val="18"/>
      <w:szCs w:val="18"/>
    </w:rPr>
  </w:style>
  <w:style w:type="paragraph" w:styleId="6">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0"/>
    <w:pPr>
      <w:tabs>
        <w:tab w:val="right" w:leader="dot" w:pos="14760"/>
      </w:tabs>
      <w:spacing w:line="700" w:lineRule="exact"/>
      <w:ind w:left="359" w:leftChars="171" w:right="332" w:rightChars="158"/>
    </w:pPr>
  </w:style>
  <w:style w:type="paragraph" w:styleId="8">
    <w:name w:val="annotation subject"/>
    <w:basedOn w:val="3"/>
    <w:next w:val="3"/>
    <w:link w:val="18"/>
    <w:semiHidden/>
    <w:qFormat/>
    <w:uiPriority w:val="0"/>
    <w:rPr>
      <w:b/>
      <w:bCs/>
    </w:rPr>
  </w:style>
  <w:style w:type="table" w:styleId="10">
    <w:name w:val="Table Grid"/>
    <w:basedOn w:val="9"/>
    <w:qFormat/>
    <w:uiPriority w:val="0"/>
    <w:rPr>
      <w:rFonts w:ascii="Calibri" w:hAnsi="Calibri" w:eastAsia="宋体" w:cs="Times New Roman"/>
      <w:kern w:val="0"/>
      <w:sz w:val="20"/>
      <w:szCs w:val="20"/>
      <w:lang w:bidi="mn-Mong-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styleId="12">
    <w:name w:val="page number"/>
    <w:basedOn w:val="11"/>
    <w:qFormat/>
    <w:uiPriority w:val="0"/>
  </w:style>
  <w:style w:type="character" w:styleId="13">
    <w:name w:val="Hyperlink"/>
    <w:qFormat/>
    <w:uiPriority w:val="0"/>
    <w:rPr>
      <w:color w:val="0000FF"/>
      <w:u w:val="single"/>
    </w:rPr>
  </w:style>
  <w:style w:type="character" w:styleId="14">
    <w:name w:val="annotation reference"/>
    <w:semiHidden/>
    <w:qFormat/>
    <w:uiPriority w:val="0"/>
    <w:rPr>
      <w:sz w:val="21"/>
      <w:szCs w:val="21"/>
    </w:rPr>
  </w:style>
  <w:style w:type="character" w:customStyle="1" w:styleId="15">
    <w:name w:val="标题 1 字符"/>
    <w:basedOn w:val="11"/>
    <w:link w:val="2"/>
    <w:qFormat/>
    <w:uiPriority w:val="0"/>
    <w:rPr>
      <w:rFonts w:ascii="Calibri" w:hAnsi="Calibri" w:eastAsia="宋体" w:cs="Times New Roman"/>
      <w:b/>
      <w:bCs/>
      <w:kern w:val="44"/>
      <w:sz w:val="44"/>
      <w:szCs w:val="44"/>
    </w:rPr>
  </w:style>
  <w:style w:type="paragraph" w:customStyle="1" w:styleId="16">
    <w:name w:val="列出段落"/>
    <w:basedOn w:val="1"/>
    <w:qFormat/>
    <w:uiPriority w:val="0"/>
    <w:pPr>
      <w:ind w:firstLine="420" w:firstLineChars="200"/>
    </w:pPr>
    <w:rPr>
      <w:rFonts w:ascii="等线" w:hAnsi="等线" w:eastAsia="等线"/>
    </w:rPr>
  </w:style>
  <w:style w:type="character" w:customStyle="1" w:styleId="17">
    <w:name w:val="批注文字 字符"/>
    <w:basedOn w:val="11"/>
    <w:link w:val="3"/>
    <w:semiHidden/>
    <w:qFormat/>
    <w:uiPriority w:val="0"/>
    <w:rPr>
      <w:rFonts w:ascii="Calibri" w:hAnsi="Calibri" w:eastAsia="宋体" w:cs="Times New Roman"/>
    </w:rPr>
  </w:style>
  <w:style w:type="character" w:customStyle="1" w:styleId="18">
    <w:name w:val="批注主题 字符"/>
    <w:basedOn w:val="17"/>
    <w:link w:val="8"/>
    <w:semiHidden/>
    <w:qFormat/>
    <w:uiPriority w:val="0"/>
    <w:rPr>
      <w:rFonts w:ascii="Calibri" w:hAnsi="Calibri" w:eastAsia="宋体" w:cs="Times New Roman"/>
      <w:b/>
      <w:bCs/>
    </w:rPr>
  </w:style>
  <w:style w:type="character" w:customStyle="1" w:styleId="19">
    <w:name w:val="批注框文本 字符"/>
    <w:basedOn w:val="11"/>
    <w:link w:val="4"/>
    <w:semiHidden/>
    <w:qFormat/>
    <w:uiPriority w:val="0"/>
    <w:rPr>
      <w:rFonts w:ascii="Calibri" w:hAnsi="Calibri" w:eastAsia="宋体" w:cs="Times New Roman"/>
      <w:sz w:val="18"/>
      <w:szCs w:val="18"/>
    </w:rPr>
  </w:style>
  <w:style w:type="paragraph" w:customStyle="1" w:styleId="20">
    <w:name w:val="列出段落1"/>
    <w:basedOn w:val="1"/>
    <w:qFormat/>
    <w:uiPriority w:val="0"/>
    <w:pPr>
      <w:ind w:firstLine="420" w:firstLineChars="200"/>
    </w:pPr>
  </w:style>
  <w:style w:type="character" w:customStyle="1" w:styleId="21">
    <w:name w:val="页眉 字符"/>
    <w:basedOn w:val="11"/>
    <w:link w:val="6"/>
    <w:qFormat/>
    <w:uiPriority w:val="0"/>
    <w:rPr>
      <w:rFonts w:ascii="Calibri" w:hAnsi="Calibri" w:eastAsia="宋体" w:cs="Times New Roman"/>
      <w:sz w:val="18"/>
      <w:szCs w:val="18"/>
    </w:rPr>
  </w:style>
  <w:style w:type="character" w:customStyle="1" w:styleId="22">
    <w:name w:val="页脚 字符"/>
    <w:basedOn w:val="11"/>
    <w:link w:val="5"/>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76972B-1E68-4020-8D07-2BF35FE7A1AE}">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1231</Words>
  <Characters>1247</Characters>
  <Lines>14</Lines>
  <Paragraphs>4</Paragraphs>
  <TotalTime>935</TotalTime>
  <ScaleCrop>false</ScaleCrop>
  <LinksUpToDate>false</LinksUpToDate>
  <CharactersWithSpaces>1252</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2020-03-06T07:06:00Z</dcterms:created>
  <dc:creator>tai yuzhu</dc:creator>
  <cp:lastModifiedBy>吞云鲸</cp:lastModifiedBy>
  <cp:lastPrinted>2020-09-14T03:24:00Z</cp:lastPrinted>
  <dcterms:modified xsi:type="dcterms:W3CDTF">2025-04-09T01:05:28Z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KSOTemplateDocerSaveRecord">
    <vt:lpwstr>eyJoZGlkIjoiNDZlM2VkOGNmODRhZWQzMmMyYTVhODE5OWU2YjU3MzYiLCJ1c2VySWQiOiIyODAyNjI1MTAifQ==</vt:lpwstr>
  </property>
  <property fmtid="{D5CDD505-2E9C-101B-9397-08002B2CF9AE}" pid="4" name="ICV">
    <vt:lpwstr>FE0FA2EDC96E47B084D9774BC3089AB3_12</vt:lpwstr>
  </property>
</Properties>
</file>