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eastAsia="方正小标宋_GBK"/>
          <w:b w:val="0"/>
          <w:sz w:val="30"/>
          <w:szCs w:val="30"/>
        </w:rPr>
      </w:pPr>
      <w:bookmarkStart w:id="0" w:name="_Toc24724713"/>
      <w:r>
        <w:rPr>
          <w:rFonts w:hint="eastAsia" w:ascii="方正小标宋_GBK" w:eastAsia="方正小标宋_GBK"/>
          <w:b w:val="0"/>
          <w:sz w:val="30"/>
          <w:szCs w:val="30"/>
        </w:rPr>
        <w:t>（十）社会保险领域基层政务公开标准目录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540" w:type="dxa"/>
            <w:vMerge w:val="restart"/>
            <w:shd w:val="clear" w:color="auto" w:fill="auto"/>
            <w:vAlign w:val="center"/>
          </w:tcPr>
          <w:p>
            <w:pPr>
              <w:widowControl/>
              <w:jc w:val="center"/>
              <w:rPr>
                <w:rFonts w:hint="eastAsia"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4"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5"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shd w:val="clear" w:color="auto" w:fill="auto"/>
              </w:rPr>
              <w:t>事</w:t>
            </w:r>
            <w:r>
              <w:rPr>
                <w:rFonts w:hint="eastAsia" w:ascii="仿宋_GB2312" w:hAnsi="宋体" w:eastAsia="仿宋_GB2312" w:cs="Times New Roman"/>
                <w:color w:val="auto"/>
                <w:sz w:val="18"/>
                <w:szCs w:val="18"/>
              </w:rPr>
              <w:t>项名称</w:t>
            </w:r>
            <w:r>
              <w:rPr>
                <w:rFonts w:hint="eastAsia" w:ascii="仿宋_GB2312" w:hAnsi="宋体" w:eastAsia="仿宋_GB2312" w:cs="Times New Roman"/>
                <w:color w:val="auto"/>
                <w:sz w:val="18"/>
                <w:szCs w:val="18"/>
                <w:lang w:eastAsia="zh-CN"/>
              </w:rPr>
              <w:t>、</w:t>
            </w:r>
            <w:r>
              <w:rPr>
                <w:rFonts w:hint="eastAsia" w:ascii="仿宋_GB2312" w:hAnsi="宋体" w:eastAsia="仿宋_GB2312" w:cs="Times New Roman"/>
                <w:color w:val="auto"/>
                <w:sz w:val="18"/>
                <w:szCs w:val="18"/>
              </w:rPr>
              <w:t>事项简述、办理材料、办理方式、办理时限、结果送达、办事时间、办理机构及地点、咨询查询途径、监督投诉渠道</w:t>
            </w:r>
          </w:p>
        </w:tc>
        <w:tc>
          <w:tcPr>
            <w:tcW w:w="2036" w:type="dxa"/>
            <w:vMerge w:val="restart"/>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人力资源社会保障部关于印发</w:t>
            </w:r>
            <w:r>
              <w:rPr>
                <w:rFonts w:hint="eastAsia" w:ascii="仿宋_GB2312" w:hAnsi="宋体" w:eastAsia="仿宋_GB2312"/>
                <w:color w:val="000000"/>
                <w:sz w:val="18"/>
                <w:szCs w:val="18"/>
                <w:lang w:val="en-US" w:eastAsia="zh-CN"/>
              </w:rPr>
              <w:t>&lt;</w:t>
            </w:r>
            <w:r>
              <w:rPr>
                <w:rFonts w:hint="eastAsia" w:ascii="仿宋_GB2312" w:hAnsi="宋体" w:eastAsia="仿宋_GB2312"/>
                <w:color w:val="000000"/>
                <w:sz w:val="18"/>
                <w:szCs w:val="18"/>
              </w:rPr>
              <w:t>城乡居民基本养老保险经办规程</w:t>
            </w:r>
            <w:r>
              <w:rPr>
                <w:rFonts w:hint="eastAsia" w:ascii="仿宋_GB2312" w:hAnsi="宋体" w:eastAsia="仿宋_GB2312"/>
                <w:color w:val="000000"/>
                <w:sz w:val="18"/>
                <w:szCs w:val="18"/>
                <w:lang w:val="en-US" w:eastAsia="zh-CN"/>
              </w:rPr>
              <w:t>&gt;</w:t>
            </w:r>
            <w:r>
              <w:rPr>
                <w:rFonts w:hint="eastAsia" w:ascii="仿宋_GB2312" w:hAnsi="宋体" w:eastAsia="仿宋_GB2312"/>
                <w:color w:val="000000"/>
                <w:sz w:val="18"/>
                <w:szCs w:val="18"/>
              </w:rPr>
              <w:t>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人社部2019（84）号</w:t>
            </w:r>
            <w:r>
              <w:rPr>
                <w:rFonts w:hint="eastAsia" w:ascii="仿宋_GB2312" w:hAnsi="宋体" w:eastAsia="仿宋_GB2312"/>
                <w:color w:val="000000"/>
                <w:sz w:val="18"/>
                <w:szCs w:val="18"/>
                <w:lang w:eastAsia="zh-CN"/>
              </w:rPr>
              <w:t>）</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1"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9" w:hRule="atLeas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8</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》《社会保险经办条例》《关于落实企业职工养老保险自治区级统筹有关问题的通知》（内人社发[2016]6号）</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ascii="仿宋_GB2312" w:hAnsi="宋体" w:eastAsia="仿宋_GB2312"/>
                <w:color w:val="000000"/>
                <w:sz w:val="18"/>
                <w:szCs w:val="18"/>
              </w:rPr>
            </w:pP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54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highlight w:val="none"/>
                <w:lang w:val="zh-CN"/>
              </w:rPr>
              <w:t>社会保险经办条例》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auto"/>
                <w:sz w:val="18"/>
                <w:szCs w:val="18"/>
              </w:rPr>
              <w:t>个人权益记录查询打印</w:t>
            </w:r>
          </w:p>
        </w:tc>
        <w:tc>
          <w:tcPr>
            <w:tcW w:w="3060" w:type="dxa"/>
            <w:vMerge w:val="continue"/>
            <w:vAlign w:val="center"/>
          </w:tcPr>
          <w:p>
            <w:pPr>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政府信息公开条例》、《中华人民共和国社会保险法》、《关于落实企业职工养老保险自治区级统筹有关问题的通知》（内人社发[2016]6号）</w:t>
            </w:r>
            <w:r>
              <w:rPr>
                <w:rFonts w:hint="eastAsia" w:ascii="仿宋_GB2312" w:hAnsi="宋体" w:eastAsia="仿宋_GB2312"/>
                <w:color w:val="000000"/>
                <w:sz w:val="18"/>
                <w:szCs w:val="18"/>
                <w:lang w:eastAsia="zh-CN"/>
              </w:rPr>
              <w:t>、《内蒙古自治区企业职工基本养老保险自治区级统筹经办流程》、《企业职工基本养老保险遗属待遇暂行办法》、《</w:t>
            </w:r>
            <w:r>
              <w:rPr>
                <w:rFonts w:hint="eastAsia" w:ascii="仿宋_GB2312" w:hAnsi="宋体" w:eastAsia="仿宋_GB2312"/>
                <w:color w:val="000000"/>
                <w:sz w:val="18"/>
                <w:szCs w:val="18"/>
              </w:rPr>
              <w:t>人力资源社会保障部关于印发</w:t>
            </w:r>
            <w:r>
              <w:rPr>
                <w:rFonts w:hint="eastAsia" w:ascii="仿宋_GB2312" w:hAnsi="宋体" w:eastAsia="仿宋_GB2312"/>
                <w:color w:val="000000"/>
                <w:sz w:val="18"/>
                <w:szCs w:val="18"/>
                <w:lang w:val="en-US" w:eastAsia="zh-CN"/>
              </w:rPr>
              <w:t>&lt;</w:t>
            </w:r>
            <w:r>
              <w:rPr>
                <w:rFonts w:hint="eastAsia" w:ascii="仿宋_GB2312" w:hAnsi="宋体" w:eastAsia="仿宋_GB2312"/>
                <w:color w:val="000000"/>
                <w:sz w:val="18"/>
                <w:szCs w:val="18"/>
              </w:rPr>
              <w:t>城乡居民基本养老保险经办规程</w:t>
            </w:r>
            <w:r>
              <w:rPr>
                <w:rFonts w:hint="eastAsia" w:ascii="仿宋_GB2312" w:hAnsi="宋体" w:eastAsia="仿宋_GB2312"/>
                <w:color w:val="000000"/>
                <w:sz w:val="18"/>
                <w:szCs w:val="18"/>
                <w:lang w:val="en-US" w:eastAsia="zh-CN"/>
              </w:rPr>
              <w:t>&gt;</w:t>
            </w:r>
            <w:r>
              <w:rPr>
                <w:rFonts w:hint="eastAsia" w:ascii="仿宋_GB2312" w:hAnsi="宋体" w:eastAsia="仿宋_GB2312"/>
                <w:color w:val="000000"/>
                <w:sz w:val="18"/>
                <w:szCs w:val="18"/>
              </w:rPr>
              <w:t>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人社部2019（84）号</w:t>
            </w:r>
            <w:r>
              <w:rPr>
                <w:rFonts w:hint="eastAsia" w:ascii="仿宋_GB2312" w:hAnsi="宋体" w:eastAsia="仿宋_GB2312"/>
                <w:color w:val="000000"/>
                <w:sz w:val="18"/>
                <w:szCs w:val="18"/>
                <w:lang w:eastAsia="zh-CN"/>
              </w:rPr>
              <w:t>）</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hint="eastAsia"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pPr>
              <w:rPr>
                <w:rFonts w:hint="eastAsia" w:ascii="仿宋_GB2312" w:hAnsi="宋体" w:eastAsia="仿宋_GB2312"/>
                <w:color w:val="000000"/>
                <w:sz w:val="18"/>
                <w:szCs w:val="18"/>
              </w:rPr>
            </w:pP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6"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bookmarkStart w:id="1" w:name="_GoBack"/>
            <w:bookmarkEnd w:id="1"/>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人力资源社会保障部关于印发</w:t>
            </w:r>
            <w:r>
              <w:rPr>
                <w:rFonts w:hint="eastAsia" w:ascii="仿宋_GB2312" w:hAnsi="宋体" w:eastAsia="仿宋_GB2312"/>
                <w:color w:val="000000"/>
                <w:sz w:val="18"/>
                <w:szCs w:val="18"/>
                <w:lang w:val="en-US" w:eastAsia="zh-CN"/>
              </w:rPr>
              <w:t>&lt;</w:t>
            </w:r>
            <w:r>
              <w:rPr>
                <w:rFonts w:hint="eastAsia" w:ascii="仿宋_GB2312" w:hAnsi="宋体" w:eastAsia="仿宋_GB2312"/>
                <w:color w:val="000000"/>
                <w:sz w:val="18"/>
                <w:szCs w:val="18"/>
              </w:rPr>
              <w:t>城乡居民基本养老保险经办规程</w:t>
            </w:r>
            <w:r>
              <w:rPr>
                <w:rFonts w:hint="eastAsia" w:ascii="仿宋_GB2312" w:hAnsi="宋体" w:eastAsia="仿宋_GB2312"/>
                <w:color w:val="000000"/>
                <w:sz w:val="18"/>
                <w:szCs w:val="18"/>
                <w:lang w:val="en-US" w:eastAsia="zh-CN"/>
              </w:rPr>
              <w:t>&gt;</w:t>
            </w:r>
            <w:r>
              <w:rPr>
                <w:rFonts w:hint="eastAsia" w:ascii="仿宋_GB2312" w:hAnsi="宋体" w:eastAsia="仿宋_GB2312"/>
                <w:color w:val="000000"/>
                <w:sz w:val="18"/>
                <w:szCs w:val="18"/>
              </w:rPr>
              <w:t>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人社部2019（84）号</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《企业职工基本养老保险病残津贴暂行办法》</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人力资源社会保障部办公厅关于做好企业职工基本养老保险病残津贴经办工作的通知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人社厅函〔2024〕177号</w:t>
            </w:r>
            <w:r>
              <w:rPr>
                <w:rFonts w:hint="eastAsia" w:ascii="仿宋_GB2312" w:hAnsi="宋体" w:eastAsia="仿宋_GB2312"/>
                <w:color w:val="000000"/>
                <w:sz w:val="18"/>
                <w:szCs w:val="18"/>
                <w:lang w:eastAsia="zh-CN"/>
              </w:rPr>
              <w:t>）</w:t>
            </w:r>
          </w:p>
        </w:tc>
        <w:tc>
          <w:tcPr>
            <w:tcW w:w="162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9"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auto"/>
                <w:sz w:val="18"/>
                <w:szCs w:val="18"/>
              </w:rPr>
            </w:pPr>
          </w:p>
        </w:tc>
        <w:tc>
          <w:tcPr>
            <w:tcW w:w="203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8"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1"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0"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6"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auto"/>
                <w:sz w:val="18"/>
                <w:szCs w:val="18"/>
              </w:rPr>
            </w:pP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4"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auto"/>
                <w:sz w:val="18"/>
                <w:szCs w:val="18"/>
              </w:rPr>
            </w:pP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540"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事项名称、事项简述、办理材料、办理方式、办理时限、结果送达、收费依据及标准、办事时间、办理机构及地点、咨询查询途径、监督投诉渠道</w:t>
            </w:r>
          </w:p>
        </w:tc>
        <w:tc>
          <w:tcPr>
            <w:tcW w:w="203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49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540" w:type="dxa"/>
            <w:vAlign w:val="center"/>
          </w:tcPr>
          <w:p>
            <w:pPr>
              <w:jc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26</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工伤保险服务</w:t>
            </w:r>
          </w:p>
        </w:tc>
        <w:tc>
          <w:tcPr>
            <w:tcW w:w="108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工伤事故备案</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政府信息公开条例》、《</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社会保险法》、《工伤保险条例》</w:t>
            </w:r>
          </w:p>
        </w:tc>
        <w:tc>
          <w:tcPr>
            <w:tcW w:w="1620"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公开事项信息形成或变更之日起20个工作日内公开</w:t>
            </w:r>
          </w:p>
        </w:tc>
        <w:tc>
          <w:tcPr>
            <w:tcW w:w="1024"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人力资源社会保障部门</w:t>
            </w:r>
          </w:p>
        </w:tc>
        <w:tc>
          <w:tcPr>
            <w:tcW w:w="149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hint="eastAsia"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8" w:hRule="atLeast"/>
        </w:trPr>
        <w:tc>
          <w:tcPr>
            <w:tcW w:w="540" w:type="dxa"/>
            <w:vAlign w:val="center"/>
          </w:tcPr>
          <w:p>
            <w:pPr>
              <w:jc w:val="center"/>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27</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工伤保险服务</w:t>
            </w:r>
          </w:p>
        </w:tc>
        <w:tc>
          <w:tcPr>
            <w:tcW w:w="108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用人单位办理工伤登记</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政府信息公开条例》、《</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社会保险法》、《工伤保险条例》</w:t>
            </w:r>
          </w:p>
        </w:tc>
        <w:tc>
          <w:tcPr>
            <w:tcW w:w="1620"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公开事项信息形成或变更之日起20个工作日内公开</w:t>
            </w:r>
          </w:p>
        </w:tc>
        <w:tc>
          <w:tcPr>
            <w:tcW w:w="1024"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人力资源社会保障部门</w:t>
            </w:r>
          </w:p>
        </w:tc>
        <w:tc>
          <w:tcPr>
            <w:tcW w:w="149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hint="eastAsia"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hint="eastAsia" w:ascii="仿宋_GB2312" w:hAnsi="宋体" w:eastAsia="仿宋_GB2312"/>
                <w:color w:val="auto"/>
                <w:sz w:val="18"/>
                <w:szCs w:val="18"/>
              </w:rPr>
              <w:br w:type="page"/>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8" w:hRule="atLeast"/>
        </w:trPr>
        <w:tc>
          <w:tcPr>
            <w:tcW w:w="540" w:type="dxa"/>
            <w:vAlign w:val="center"/>
          </w:tcPr>
          <w:p>
            <w:pPr>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2</w:t>
            </w:r>
            <w:r>
              <w:rPr>
                <w:rFonts w:ascii="仿宋_GB2312" w:hAnsi="宋体" w:eastAsia="仿宋_GB2312"/>
                <w:color w:val="auto"/>
                <w:sz w:val="18"/>
                <w:szCs w:val="18"/>
              </w:rPr>
              <w:t>8</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企业年金方案备案</w:t>
            </w:r>
          </w:p>
        </w:tc>
        <w:tc>
          <w:tcPr>
            <w:tcW w:w="108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企业年金方案备案</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政府信息公开条例》、《</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社会保险法》、《企业年金办法》</w:t>
            </w:r>
          </w:p>
        </w:tc>
        <w:tc>
          <w:tcPr>
            <w:tcW w:w="1620"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公开事项信息形成或变更之日起20个工作日内公开</w:t>
            </w:r>
          </w:p>
        </w:tc>
        <w:tc>
          <w:tcPr>
            <w:tcW w:w="1024"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人力资源社会保障部门</w:t>
            </w:r>
          </w:p>
        </w:tc>
        <w:tc>
          <w:tcPr>
            <w:tcW w:w="1496" w:type="dxa"/>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hint="eastAsia"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3" w:hRule="atLeast"/>
        </w:trPr>
        <w:tc>
          <w:tcPr>
            <w:tcW w:w="540" w:type="dxa"/>
            <w:vAlign w:val="center"/>
          </w:tcPr>
          <w:p>
            <w:pPr>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2</w:t>
            </w:r>
            <w:r>
              <w:rPr>
                <w:rFonts w:ascii="仿宋_GB2312" w:hAnsi="宋体" w:eastAsia="仿宋_GB2312"/>
                <w:color w:val="auto"/>
                <w:sz w:val="18"/>
                <w:szCs w:val="18"/>
              </w:rPr>
              <w:t>9</w:t>
            </w:r>
          </w:p>
        </w:tc>
        <w:tc>
          <w:tcPr>
            <w:tcW w:w="720" w:type="dxa"/>
            <w:vMerge w:val="restart"/>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企业年金方案备案</w:t>
            </w:r>
          </w:p>
        </w:tc>
        <w:tc>
          <w:tcPr>
            <w:tcW w:w="108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企业年金方案重要条款变更备案</w:t>
            </w:r>
          </w:p>
        </w:tc>
        <w:tc>
          <w:tcPr>
            <w:tcW w:w="3060" w:type="dxa"/>
            <w:vMerge w:val="restart"/>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事项名称、事项简述、办理材料、办理方式、办理时限、结果送达、办事时间、办理机构及地点、咨询查询途径、监督投诉渠道</w:t>
            </w:r>
          </w:p>
        </w:tc>
        <w:tc>
          <w:tcPr>
            <w:tcW w:w="2036" w:type="dxa"/>
            <w:vMerge w:val="restart"/>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政府信息公开条例》、《</w:t>
            </w:r>
            <w:r>
              <w:rPr>
                <w:rFonts w:hint="eastAsia" w:ascii="仿宋_GB2312" w:hAnsi="宋体" w:eastAsia="仿宋_GB2312"/>
                <w:color w:val="000000"/>
                <w:sz w:val="18"/>
                <w:szCs w:val="18"/>
                <w:lang w:eastAsia="zh-CN"/>
              </w:rPr>
              <w:t>中华人民共和国</w:t>
            </w:r>
            <w:r>
              <w:rPr>
                <w:rFonts w:hint="eastAsia" w:ascii="仿宋_GB2312" w:hAnsi="宋体" w:eastAsia="仿宋_GB2312"/>
                <w:color w:val="auto"/>
                <w:sz w:val="18"/>
                <w:szCs w:val="18"/>
              </w:rPr>
              <w:t>社会保险法》、《企业年金办法》</w:t>
            </w:r>
          </w:p>
        </w:tc>
        <w:tc>
          <w:tcPr>
            <w:tcW w:w="1620" w:type="dxa"/>
            <w:vMerge w:val="restart"/>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公开事项信息形成或变更之日起20个工作日内公开</w:t>
            </w:r>
          </w:p>
        </w:tc>
        <w:tc>
          <w:tcPr>
            <w:tcW w:w="1024" w:type="dxa"/>
            <w:vMerge w:val="restart"/>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人力资源社会保障部门</w:t>
            </w:r>
          </w:p>
        </w:tc>
        <w:tc>
          <w:tcPr>
            <w:tcW w:w="1496" w:type="dxa"/>
            <w:vMerge w:val="restart"/>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hint="eastAsia" w:ascii="仿宋_GB2312" w:hAnsi="宋体" w:eastAsia="仿宋_GB2312"/>
                <w:color w:val="auto"/>
                <w:sz w:val="18"/>
                <w:szCs w:val="18"/>
              </w:rPr>
            </w:pPr>
            <w:r>
              <w:rPr>
                <w:rFonts w:hint="eastAsia" w:ascii="仿宋_GB2312" w:hAnsi="宋体" w:eastAsia="仿宋_GB2312"/>
                <w:color w:val="auto"/>
                <w:sz w:val="18"/>
                <w:szCs w:val="18"/>
              </w:rPr>
              <w:t>■政务服务中心</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■基层公共服务平台</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trPr>
        <w:tc>
          <w:tcPr>
            <w:tcW w:w="540" w:type="dxa"/>
            <w:vAlign w:val="center"/>
          </w:tcPr>
          <w:p>
            <w:pPr>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3</w:t>
            </w:r>
            <w:r>
              <w:rPr>
                <w:rFonts w:ascii="仿宋_GB2312" w:hAnsi="宋体" w:eastAsia="仿宋_GB2312"/>
                <w:color w:val="auto"/>
                <w:sz w:val="18"/>
                <w:szCs w:val="18"/>
              </w:rPr>
              <w:t>0</w:t>
            </w:r>
          </w:p>
        </w:tc>
        <w:tc>
          <w:tcPr>
            <w:tcW w:w="720" w:type="dxa"/>
            <w:vMerge w:val="continue"/>
            <w:shd w:val="clear" w:color="auto" w:fill="auto"/>
            <w:vAlign w:val="center"/>
          </w:tcPr>
          <w:p>
            <w:pPr>
              <w:rPr>
                <w:rFonts w:hint="eastAsia" w:ascii="仿宋_GB2312" w:hAnsi="宋体" w:eastAsia="仿宋_GB2312"/>
                <w:color w:val="auto"/>
                <w:sz w:val="18"/>
                <w:szCs w:val="18"/>
              </w:rPr>
            </w:pPr>
          </w:p>
        </w:tc>
        <w:tc>
          <w:tcPr>
            <w:tcW w:w="1080" w:type="dxa"/>
            <w:shd w:val="clear" w:color="auto" w:fill="auto"/>
            <w:vAlign w:val="center"/>
          </w:tcPr>
          <w:p>
            <w:pPr>
              <w:rPr>
                <w:rFonts w:hint="eastAsia" w:ascii="仿宋_GB2312" w:hAnsi="宋体" w:eastAsia="仿宋_GB2312"/>
                <w:color w:val="auto"/>
                <w:sz w:val="18"/>
                <w:szCs w:val="18"/>
              </w:rPr>
            </w:pPr>
            <w:r>
              <w:rPr>
                <w:rFonts w:hint="eastAsia" w:ascii="仿宋_GB2312" w:hAnsi="宋体" w:eastAsia="仿宋_GB2312"/>
                <w:color w:val="auto"/>
                <w:sz w:val="18"/>
                <w:szCs w:val="18"/>
              </w:rPr>
              <w:t>企业年金方案终止备案</w:t>
            </w:r>
          </w:p>
        </w:tc>
        <w:tc>
          <w:tcPr>
            <w:tcW w:w="3060" w:type="dxa"/>
            <w:vMerge w:val="continue"/>
            <w:vAlign w:val="center"/>
          </w:tcPr>
          <w:p>
            <w:pPr>
              <w:jc w:val="left"/>
              <w:rPr>
                <w:rFonts w:hint="eastAsia" w:ascii="仿宋_GB2312" w:hAnsi="宋体" w:eastAsia="仿宋_GB2312"/>
                <w:color w:val="auto"/>
                <w:sz w:val="18"/>
                <w:szCs w:val="18"/>
              </w:rPr>
            </w:pPr>
          </w:p>
        </w:tc>
        <w:tc>
          <w:tcPr>
            <w:tcW w:w="2036" w:type="dxa"/>
            <w:vMerge w:val="continue"/>
            <w:vAlign w:val="center"/>
          </w:tcPr>
          <w:p>
            <w:pPr>
              <w:rPr>
                <w:rFonts w:hint="eastAsia" w:ascii="仿宋_GB2312" w:hAnsi="宋体" w:eastAsia="仿宋_GB2312"/>
                <w:color w:val="auto"/>
                <w:sz w:val="18"/>
                <w:szCs w:val="18"/>
              </w:rPr>
            </w:pPr>
          </w:p>
        </w:tc>
        <w:tc>
          <w:tcPr>
            <w:tcW w:w="1620" w:type="dxa"/>
            <w:vMerge w:val="continue"/>
            <w:vAlign w:val="center"/>
          </w:tcPr>
          <w:p>
            <w:pPr>
              <w:rPr>
                <w:rFonts w:hint="eastAsia" w:ascii="仿宋_GB2312" w:hAnsi="宋体" w:eastAsia="仿宋_GB2312"/>
                <w:color w:val="auto"/>
                <w:sz w:val="18"/>
                <w:szCs w:val="18"/>
              </w:rPr>
            </w:pPr>
          </w:p>
        </w:tc>
        <w:tc>
          <w:tcPr>
            <w:tcW w:w="1024" w:type="dxa"/>
            <w:vMerge w:val="continue"/>
            <w:vAlign w:val="center"/>
          </w:tcPr>
          <w:p>
            <w:pPr>
              <w:rPr>
                <w:rFonts w:hint="eastAsia" w:ascii="仿宋_GB2312" w:hAnsi="宋体" w:eastAsia="仿宋_GB2312"/>
                <w:color w:val="auto"/>
                <w:sz w:val="18"/>
                <w:szCs w:val="18"/>
              </w:rPr>
            </w:pPr>
          </w:p>
        </w:tc>
        <w:tc>
          <w:tcPr>
            <w:tcW w:w="1496" w:type="dxa"/>
            <w:vMerge w:val="continue"/>
            <w:vAlign w:val="center"/>
          </w:tcPr>
          <w:p>
            <w:pPr>
              <w:rPr>
                <w:rFonts w:hint="eastAsia" w:ascii="仿宋_GB2312" w:hAnsi="宋体" w:eastAsia="仿宋_GB2312"/>
                <w:color w:val="auto"/>
                <w:sz w:val="18"/>
                <w:szCs w:val="18"/>
              </w:rPr>
            </w:pP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31</w:t>
            </w:r>
          </w:p>
        </w:tc>
        <w:tc>
          <w:tcPr>
            <w:tcW w:w="720" w:type="dxa"/>
            <w:vMerge w:val="restart"/>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失业保险服务</w:t>
            </w: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失业保险金申领</w:t>
            </w:r>
          </w:p>
        </w:tc>
        <w:tc>
          <w:tcPr>
            <w:tcW w:w="3060" w:type="dxa"/>
            <w:vMerge w:val="restart"/>
            <w:vAlign w:val="center"/>
          </w:tcPr>
          <w:p>
            <w:pPr>
              <w:jc w:val="left"/>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hAnsi="宋体" w:eastAsia="仿宋_GB2312"/>
                <w:color w:val="000000" w:themeColor="text1"/>
                <w:sz w:val="18"/>
                <w:szCs w:val="18"/>
                <w:lang w:eastAsia="zh-CN"/>
                <w14:textFill>
                  <w14:solidFill>
                    <w14:schemeClr w14:val="tx1"/>
                  </w14:solidFill>
                </w14:textFill>
              </w:rPr>
              <w:t>中华人民共和国</w:t>
            </w:r>
            <w:r>
              <w:rPr>
                <w:rFonts w:hint="eastAsia" w:ascii="仿宋_GB2312" w:hAnsi="宋体" w:eastAsia="仿宋_GB2312"/>
                <w:color w:val="000000" w:themeColor="text1"/>
                <w:sz w:val="18"/>
                <w:szCs w:val="18"/>
                <w14:textFill>
                  <w14:solidFill>
                    <w14:schemeClr w14:val="tx1"/>
                  </w14:solidFill>
                </w14:textFill>
              </w:rPr>
              <w:t>政府信息公开条例》、《</w:t>
            </w:r>
            <w:r>
              <w:rPr>
                <w:rFonts w:hint="eastAsia" w:ascii="仿宋_GB2312" w:hAnsi="宋体" w:eastAsia="仿宋_GB2312"/>
                <w:color w:val="000000" w:themeColor="text1"/>
                <w:sz w:val="18"/>
                <w:szCs w:val="18"/>
                <w:lang w:eastAsia="zh-CN"/>
                <w14:textFill>
                  <w14:solidFill>
                    <w14:schemeClr w14:val="tx1"/>
                  </w14:solidFill>
                </w14:textFill>
              </w:rPr>
              <w:t>中华人民共和国社</w:t>
            </w:r>
            <w:r>
              <w:rPr>
                <w:rFonts w:hint="eastAsia" w:ascii="仿宋_GB2312" w:hAnsi="宋体" w:eastAsia="仿宋_GB2312"/>
                <w:color w:val="000000" w:themeColor="text1"/>
                <w:sz w:val="18"/>
                <w:szCs w:val="18"/>
                <w14:textFill>
                  <w14:solidFill>
                    <w14:schemeClr w14:val="tx1"/>
                  </w14:solidFill>
                </w14:textFill>
              </w:rPr>
              <w:t>会保险法》、《失业保险条例》《内蒙古自治区失业保险实施办法》</w:t>
            </w:r>
            <w:r>
              <w:rPr>
                <w:rFonts w:hint="eastAsia" w:ascii="仿宋_GB2312" w:hAnsi="宋体" w:eastAsia="仿宋_GB2312"/>
                <w:color w:val="000000" w:themeColor="text1"/>
                <w:sz w:val="18"/>
                <w:szCs w:val="18"/>
                <w:lang w:eastAsia="zh-CN"/>
                <w14:textFill>
                  <w14:solidFill>
                    <w14:schemeClr w14:val="tx1"/>
                  </w14:solidFill>
                </w14:textFill>
              </w:rPr>
              <w:t>《</w:t>
            </w:r>
            <w:r>
              <w:rPr>
                <w:rFonts w:hint="eastAsia" w:ascii="仿宋_GB2312" w:hAnsi="宋体" w:eastAsia="仿宋_GB2312"/>
                <w:color w:val="000000" w:themeColor="text1"/>
                <w:sz w:val="18"/>
                <w:szCs w:val="18"/>
                <w:lang w:val="en-US" w:eastAsia="zh-CN"/>
                <w14:textFill>
                  <w14:solidFill>
                    <w14:schemeClr w14:val="tx1"/>
                  </w14:solidFill>
                </w14:textFill>
              </w:rPr>
              <w:t>内蒙古自治区人力资源和社会保障厅 财政厅 国家税务总局内蒙古自治区税务局 关于大龄领取失业保险金人员参加企业职工基本养老保险有关工作的通知</w:t>
            </w:r>
            <w:r>
              <w:rPr>
                <w:rFonts w:hint="eastAsia" w:ascii="仿宋_GB2312" w:hAnsi="宋体" w:eastAsia="仿宋_GB2312"/>
                <w:color w:val="000000" w:themeColor="text1"/>
                <w:sz w:val="18"/>
                <w:szCs w:val="18"/>
                <w:lang w:eastAsia="zh-CN"/>
                <w14:textFill>
                  <w14:solidFill>
                    <w14:schemeClr w14:val="tx1"/>
                  </w14:solidFill>
                </w14:textFill>
              </w:rPr>
              <w:t>》</w:t>
            </w:r>
          </w:p>
        </w:tc>
        <w:tc>
          <w:tcPr>
            <w:tcW w:w="1620" w:type="dxa"/>
            <w:vMerge w:val="restart"/>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1024" w:type="dxa"/>
            <w:vMerge w:val="restart"/>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496" w:type="dxa"/>
            <w:vMerge w:val="restart"/>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32</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丧葬补助金和抚恤金申领</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33</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职业培训补贴申领</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s="Times New Roman"/>
                <w:color w:val="000000" w:themeColor="text1"/>
                <w:kern w:val="2"/>
                <w:sz w:val="18"/>
                <w:szCs w:val="18"/>
                <w:lang w:val="en-US" w:eastAsia="zh-CN" w:bidi="ar-SA"/>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34</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代缴基本医疗保险费</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35</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失业保险关系转移接续</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36</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稳岗补贴申领</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37</w:t>
            </w:r>
          </w:p>
        </w:tc>
        <w:tc>
          <w:tcPr>
            <w:tcW w:w="720" w:type="dxa"/>
            <w:vMerge w:val="continue"/>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80" w:type="dxa"/>
            <w:shd w:val="clear" w:color="auto" w:fill="auto"/>
            <w:vAlign w:val="center"/>
          </w:tcPr>
          <w:p>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技能提升补贴申领</w:t>
            </w:r>
          </w:p>
        </w:tc>
        <w:tc>
          <w:tcPr>
            <w:tcW w:w="3060" w:type="dxa"/>
            <w:vMerge w:val="continue"/>
            <w:vAlign w:val="center"/>
          </w:tcPr>
          <w:p>
            <w:pPr>
              <w:jc w:val="left"/>
              <w:rPr>
                <w:rFonts w:hint="eastAsia" w:ascii="仿宋_GB2312" w:hAnsi="宋体" w:eastAsia="仿宋_GB2312"/>
                <w:color w:val="000000" w:themeColor="text1"/>
                <w:sz w:val="18"/>
                <w:szCs w:val="18"/>
                <w14:textFill>
                  <w14:solidFill>
                    <w14:schemeClr w14:val="tx1"/>
                  </w14:solidFill>
                </w14:textFill>
              </w:rPr>
            </w:pPr>
          </w:p>
        </w:tc>
        <w:tc>
          <w:tcPr>
            <w:tcW w:w="203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620"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024"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1496" w:type="dxa"/>
            <w:vMerge w:val="continue"/>
            <w:vAlign w:val="center"/>
          </w:tcPr>
          <w:p>
            <w:pPr>
              <w:rPr>
                <w:rFonts w:hint="eastAsia" w:ascii="仿宋_GB2312" w:hAnsi="宋体" w:eastAsia="仿宋_GB2312"/>
                <w:color w:val="000000" w:themeColor="text1"/>
                <w:sz w:val="18"/>
                <w:szCs w:val="18"/>
                <w14:textFill>
                  <w14:solidFill>
                    <w14:schemeClr w14:val="tx1"/>
                  </w14:solidFill>
                </w14:textFill>
              </w:rPr>
            </w:pP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4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pPr>
              <w:jc w:val="cente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bl>
    <w:p>
      <w:pPr>
        <w:jc w:val="center"/>
        <w:rPr>
          <w:rFonts w:ascii="Times New Roman" w:hAnsi="Times New Roman" w:eastAsia="方正小标宋_GBK"/>
          <w:color w:val="FF000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2223BE-3861-425F-8FD3-A701466131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0" w:usb1="00000000" w:usb2="00000000" w:usb3="00000000" w:csb0="00000000" w:csb1="00000000"/>
    <w:embedRegular r:id="rId2" w:fontKey="{D5D8702A-262F-413F-A029-8A089EBB1073}"/>
  </w:font>
  <w:font w:name="仿宋_GB2312">
    <w:panose1 w:val="02010609030101010101"/>
    <w:charset w:val="86"/>
    <w:family w:val="auto"/>
    <w:pitch w:val="default"/>
    <w:sig w:usb0="00000001" w:usb1="080E0000" w:usb2="00000000" w:usb3="00000000" w:csb0="00040000" w:csb1="00000000"/>
    <w:embedRegular r:id="rId3" w:fontKey="{B37BC589-12D4-472B-993E-883844EAB8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93DB9"/>
    <w:rsid w:val="001E6D63"/>
    <w:rsid w:val="00264E7D"/>
    <w:rsid w:val="002967AA"/>
    <w:rsid w:val="002E0878"/>
    <w:rsid w:val="003B2C77"/>
    <w:rsid w:val="004077CB"/>
    <w:rsid w:val="00416393"/>
    <w:rsid w:val="00612901"/>
    <w:rsid w:val="008438B0"/>
    <w:rsid w:val="00902A01"/>
    <w:rsid w:val="00A41EEC"/>
    <w:rsid w:val="00FA002F"/>
    <w:rsid w:val="02194CBA"/>
    <w:rsid w:val="05F61781"/>
    <w:rsid w:val="06F37A6F"/>
    <w:rsid w:val="0A6D7B38"/>
    <w:rsid w:val="0C2506CA"/>
    <w:rsid w:val="0C547201"/>
    <w:rsid w:val="14C34F24"/>
    <w:rsid w:val="153656F6"/>
    <w:rsid w:val="1A4671FE"/>
    <w:rsid w:val="1BDA47AF"/>
    <w:rsid w:val="1C0227D6"/>
    <w:rsid w:val="20126D60"/>
    <w:rsid w:val="212B632B"/>
    <w:rsid w:val="264C1BD3"/>
    <w:rsid w:val="2A005E7B"/>
    <w:rsid w:val="3B2D73A2"/>
    <w:rsid w:val="3C395948"/>
    <w:rsid w:val="3DF93229"/>
    <w:rsid w:val="43346E69"/>
    <w:rsid w:val="4E97302D"/>
    <w:rsid w:val="53C70B09"/>
    <w:rsid w:val="54031A53"/>
    <w:rsid w:val="550543FE"/>
    <w:rsid w:val="55E365CB"/>
    <w:rsid w:val="57792C45"/>
    <w:rsid w:val="595F22CA"/>
    <w:rsid w:val="5FAE36E5"/>
    <w:rsid w:val="68B0223F"/>
    <w:rsid w:val="69162ADE"/>
    <w:rsid w:val="6B0D1BCA"/>
    <w:rsid w:val="6B7E06E8"/>
    <w:rsid w:val="72CB2722"/>
    <w:rsid w:val="72E96A79"/>
    <w:rsid w:val="758C56C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Strong"/>
    <w:basedOn w:val="11"/>
    <w:qFormat/>
    <w:uiPriority w:val="22"/>
    <w:rPr>
      <w:b/>
    </w:rPr>
  </w:style>
  <w:style w:type="character" w:styleId="13">
    <w:name w:val="page number"/>
    <w:basedOn w:val="11"/>
    <w:qFormat/>
    <w:uiPriority w:val="0"/>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qFormat/>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B8344-096B-40CB-BABD-969550E207C7}">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4385</Words>
  <Characters>4462</Characters>
  <Lines>52</Lines>
  <Paragraphs>14</Paragraphs>
  <TotalTime>5</TotalTime>
  <ScaleCrop>false</ScaleCrop>
  <LinksUpToDate>false</LinksUpToDate>
  <CharactersWithSpaces>4622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2020-03-06T06:58:00Z</dcterms:created>
  <dc:creator>tai yuzhu</dc:creator>
  <cp:lastModifiedBy>吞云鲸</cp:lastModifiedBy>
  <dcterms:modified xsi:type="dcterms:W3CDTF">2025-03-31T09:29:43Z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06F12C0FDB89463E897E2934ECDEE166_13</vt:lpwstr>
  </property>
  <property fmtid="{D5CDD505-2E9C-101B-9397-08002B2CF9AE}" pid="4" name="KSOTemplateDocerSaveRecord">
    <vt:lpwstr>eyJoZGlkIjoiYzJjYThiOWI0MTMyNGIxYjMyYzNiM2UyNzA1NGI0MDciLCJ1c2VySWQiOiIzMjMxMjM4ODIifQ==</vt:lpwstr>
  </property>
</Properties>
</file>