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0" w:name="_Toc24724706"/>
      <w:r>
        <w:rPr>
          <w:rFonts w:hint="eastAsia" w:ascii="方正小标宋_GBK" w:hAnsi="方正小标宋_GBK" w:eastAsia="方正小标宋_GBK"/>
          <w:b w:val="0"/>
          <w:bCs w:val="0"/>
          <w:sz w:val="30"/>
          <w:lang w:eastAsia="zh-CN"/>
        </w:rPr>
        <w:t>昆区教育局</w:t>
      </w:r>
      <w:r>
        <w:rPr>
          <w:rFonts w:hint="eastAsia" w:ascii="方正小标宋_GBK" w:hAnsi="方正小标宋_GBK" w:eastAsia="方正小标宋_GBK"/>
          <w:b w:val="0"/>
          <w:bCs w:val="0"/>
          <w:sz w:val="30"/>
        </w:rPr>
        <w:t>义务教</w:t>
      </w:r>
      <w:bookmarkStart w:id="1" w:name="_GoBack"/>
      <w:bookmarkEnd w:id="1"/>
      <w:r>
        <w:rPr>
          <w:rFonts w:hint="eastAsia" w:ascii="方正小标宋_GBK" w:hAnsi="方正小标宋_GBK" w:eastAsia="方正小标宋_GBK"/>
          <w:b w:val="0"/>
          <w:bCs w:val="0"/>
          <w:sz w:val="30"/>
        </w:rPr>
        <w:t>育领域基层政务公开标准目录</w:t>
      </w:r>
      <w:bookmarkEnd w:id="0"/>
    </w:p>
    <w:tbl>
      <w:tblPr>
        <w:tblStyle w:val="9"/>
        <w:tblpPr w:leftFromText="180" w:rightFromText="180" w:vertAnchor="text" w:horzAnchor="page" w:tblpX="1162" w:tblpY="1103"/>
        <w:tblOverlap w:val="never"/>
        <w:tblW w:w="14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20"/>
        <w:gridCol w:w="1005"/>
        <w:gridCol w:w="1855"/>
        <w:gridCol w:w="2520"/>
        <w:gridCol w:w="1620"/>
        <w:gridCol w:w="1909"/>
        <w:gridCol w:w="841"/>
        <w:gridCol w:w="547"/>
        <w:gridCol w:w="443"/>
        <w:gridCol w:w="513"/>
        <w:gridCol w:w="4"/>
        <w:gridCol w:w="716"/>
        <w:gridCol w:w="4"/>
        <w:gridCol w:w="716"/>
        <w:gridCol w:w="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restart"/>
            <w:shd w:val="clear" w:color="auto" w:fill="auto"/>
            <w:vAlign w:val="center"/>
          </w:tcPr>
          <w:p>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925" w:type="dxa"/>
            <w:gridSpan w:val="2"/>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1855" w:type="dxa"/>
            <w:vMerge w:val="restart"/>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1909" w:type="dxa"/>
            <w:vMerge w:val="restart"/>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841"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507" w:type="dxa"/>
            <w:gridSpan w:val="4"/>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4"/>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continue"/>
            <w:vAlign w:val="center"/>
          </w:tcPr>
          <w:p>
            <w:pPr>
              <w:widowControl/>
              <w:jc w:val="left"/>
              <w:rPr>
                <w:rFonts w:hint="eastAsia" w:ascii="黑体" w:hAnsi="Times New Roman" w:eastAsia="黑体"/>
                <w:color w:val="000000"/>
                <w:kern w:val="0"/>
                <w:sz w:val="22"/>
              </w:rPr>
            </w:pPr>
          </w:p>
        </w:tc>
        <w:tc>
          <w:tcPr>
            <w:tcW w:w="920"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1005"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1855" w:type="dxa"/>
            <w:vMerge w:val="continue"/>
            <w:vAlign w:val="center"/>
          </w:tcPr>
          <w:p>
            <w:pPr>
              <w:widowControl/>
              <w:jc w:val="left"/>
              <w:rPr>
                <w:rFonts w:hint="eastAsia" w:ascii="黑体" w:hAnsi="宋体" w:eastAsia="黑体" w:cs="宋体"/>
                <w:color w:val="000000"/>
                <w:kern w:val="0"/>
                <w:sz w:val="22"/>
              </w:rPr>
            </w:pPr>
          </w:p>
        </w:tc>
        <w:tc>
          <w:tcPr>
            <w:tcW w:w="2520" w:type="dxa"/>
            <w:vMerge w:val="continue"/>
            <w:vAlign w:val="center"/>
          </w:tcPr>
          <w:p>
            <w:pPr>
              <w:widowControl/>
              <w:jc w:val="left"/>
              <w:rPr>
                <w:rFonts w:hint="eastAsia" w:ascii="黑体" w:hAnsi="宋体" w:eastAsia="黑体" w:cs="宋体"/>
                <w:color w:val="000000"/>
                <w:kern w:val="0"/>
                <w:sz w:val="22"/>
              </w:rPr>
            </w:pPr>
          </w:p>
        </w:tc>
        <w:tc>
          <w:tcPr>
            <w:tcW w:w="1620" w:type="dxa"/>
            <w:vMerge w:val="continue"/>
            <w:vAlign w:val="center"/>
          </w:tcPr>
          <w:p>
            <w:pPr>
              <w:widowControl/>
              <w:jc w:val="left"/>
              <w:rPr>
                <w:rFonts w:hint="eastAsia" w:ascii="黑体" w:hAnsi="宋体" w:eastAsia="黑体" w:cs="宋体"/>
                <w:color w:val="000000"/>
                <w:kern w:val="0"/>
                <w:sz w:val="22"/>
              </w:rPr>
            </w:pPr>
          </w:p>
        </w:tc>
        <w:tc>
          <w:tcPr>
            <w:tcW w:w="1909" w:type="dxa"/>
            <w:vMerge w:val="continue"/>
            <w:vAlign w:val="center"/>
          </w:tcPr>
          <w:p>
            <w:pPr>
              <w:widowControl/>
              <w:jc w:val="left"/>
              <w:rPr>
                <w:rFonts w:hint="eastAsia" w:ascii="黑体" w:hAnsi="宋体" w:eastAsia="黑体" w:cs="宋体"/>
                <w:color w:val="000000"/>
                <w:kern w:val="0"/>
                <w:sz w:val="22"/>
              </w:rPr>
            </w:pPr>
          </w:p>
        </w:tc>
        <w:tc>
          <w:tcPr>
            <w:tcW w:w="841"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547"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443"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517" w:type="dxa"/>
            <w:gridSpan w:val="2"/>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gridSpan w:val="2"/>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gridSpan w:val="2"/>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cantSplit/>
          <w:trHeight w:val="1056" w:hRule="atLeast"/>
        </w:trPr>
        <w:tc>
          <w:tcPr>
            <w:tcW w:w="540" w:type="dxa"/>
            <w:vMerge w:val="restart"/>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920"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100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教育法律</w:t>
            </w:r>
          </w:p>
        </w:tc>
        <w:tc>
          <w:tcPr>
            <w:tcW w:w="185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《教育法》、《义务教育法》、《民办教育促进法》、《教师法》、《国家通用语言文字法》</w:t>
            </w:r>
          </w:p>
        </w:tc>
        <w:tc>
          <w:tcPr>
            <w:tcW w:w="2520" w:type="dxa"/>
            <w:shd w:val="clear" w:color="auto" w:fill="auto"/>
            <w:vAlign w:val="center"/>
          </w:tcPr>
          <w:p>
            <w:pPr>
              <w:rPr>
                <w:rFonts w:hint="eastAsia" w:ascii="仿宋_GB2312" w:hAnsi="宋体" w:eastAsia="仿宋_GB2312" w:cs="宋体"/>
                <w:color w:val="000000"/>
                <w:sz w:val="18"/>
                <w:szCs w:val="18"/>
                <w:lang w:eastAsia="zh-CN"/>
              </w:rPr>
            </w:pPr>
            <w:r>
              <w:rPr>
                <w:rFonts w:hint="eastAsia" w:ascii="仿宋_GB2312" w:hAnsi="宋体" w:eastAsia="仿宋_GB2312"/>
                <w:color w:val="000000"/>
                <w:sz w:val="18"/>
                <w:szCs w:val="18"/>
                <w:lang w:eastAsia="zh-CN"/>
              </w:rPr>
              <w:t>政府信息公开条例</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909"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841"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7"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43"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13"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cantSplit/>
        </w:trPr>
        <w:tc>
          <w:tcPr>
            <w:tcW w:w="540" w:type="dxa"/>
            <w:vMerge w:val="continue"/>
            <w:vAlign w:val="center"/>
          </w:tcPr>
          <w:p>
            <w:pPr>
              <w:rPr>
                <w:rFonts w:hint="eastAsia" w:ascii="仿宋_GB2312" w:hAnsi="宋体" w:eastAsia="仿宋_GB2312" w:cs="宋体"/>
                <w:color w:val="000000"/>
                <w:sz w:val="18"/>
                <w:szCs w:val="18"/>
              </w:rPr>
            </w:pPr>
          </w:p>
        </w:tc>
        <w:tc>
          <w:tcPr>
            <w:tcW w:w="920" w:type="dxa"/>
            <w:vMerge w:val="continue"/>
            <w:vAlign w:val="center"/>
          </w:tcPr>
          <w:p>
            <w:pPr>
              <w:rPr>
                <w:rFonts w:hint="eastAsia" w:ascii="仿宋_GB2312" w:hAnsi="宋体" w:eastAsia="仿宋_GB2312" w:cs="宋体"/>
                <w:color w:val="000000"/>
                <w:sz w:val="18"/>
                <w:szCs w:val="18"/>
              </w:rPr>
            </w:pPr>
          </w:p>
        </w:tc>
        <w:tc>
          <w:tcPr>
            <w:tcW w:w="100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规范性文件</w:t>
            </w:r>
          </w:p>
        </w:tc>
        <w:tc>
          <w:tcPr>
            <w:tcW w:w="185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部门和地方政府规章、各类教育政策文件</w:t>
            </w:r>
          </w:p>
        </w:tc>
        <w:tc>
          <w:tcPr>
            <w:tcW w:w="2520" w:type="dxa"/>
            <w:shd w:val="clear" w:color="auto" w:fill="auto"/>
            <w:vAlign w:val="center"/>
          </w:tcPr>
          <w:p>
            <w:pPr>
              <w:rPr>
                <w:rFonts w:hint="eastAsia" w:ascii="仿宋_GB2312" w:hAnsi="宋体" w:eastAsia="仿宋_GB2312" w:cs="宋体"/>
                <w:color w:val="000000"/>
                <w:sz w:val="18"/>
                <w:szCs w:val="18"/>
                <w:lang w:eastAsia="zh-CN"/>
              </w:rPr>
            </w:pPr>
            <w:r>
              <w:rPr>
                <w:rFonts w:hint="eastAsia" w:ascii="仿宋_GB2312" w:hAnsi="宋体" w:eastAsia="仿宋_GB2312"/>
                <w:color w:val="000000"/>
                <w:sz w:val="18"/>
                <w:szCs w:val="18"/>
                <w:lang w:eastAsia="zh-CN"/>
              </w:rPr>
              <w:t>政府信息公开条例</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909"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841"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7"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43"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13"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cantSplit/>
        </w:trPr>
        <w:tc>
          <w:tcPr>
            <w:tcW w:w="540" w:type="dxa"/>
            <w:vMerge w:val="restart"/>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2</w:t>
            </w:r>
          </w:p>
        </w:tc>
        <w:tc>
          <w:tcPr>
            <w:tcW w:w="920"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教育概况</w:t>
            </w:r>
          </w:p>
        </w:tc>
        <w:tc>
          <w:tcPr>
            <w:tcW w:w="100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教育事业发展主要情况</w:t>
            </w:r>
          </w:p>
        </w:tc>
        <w:tc>
          <w:tcPr>
            <w:tcW w:w="185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教育事业发展主要情况</w:t>
            </w:r>
          </w:p>
        </w:tc>
        <w:tc>
          <w:tcPr>
            <w:tcW w:w="2520" w:type="dxa"/>
            <w:vMerge w:val="restart"/>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《统计法》、</w:t>
            </w: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、《教育统计管理规定》</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909"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841"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7"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43"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13"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cantSplit/>
        </w:trPr>
        <w:tc>
          <w:tcPr>
            <w:tcW w:w="540" w:type="dxa"/>
            <w:vMerge w:val="continue"/>
            <w:vAlign w:val="center"/>
          </w:tcPr>
          <w:p>
            <w:pPr>
              <w:rPr>
                <w:rFonts w:hint="eastAsia" w:ascii="仿宋_GB2312" w:hAnsi="宋体" w:eastAsia="仿宋_GB2312" w:cs="宋体"/>
                <w:color w:val="000000"/>
                <w:sz w:val="18"/>
                <w:szCs w:val="18"/>
              </w:rPr>
            </w:pPr>
          </w:p>
        </w:tc>
        <w:tc>
          <w:tcPr>
            <w:tcW w:w="920" w:type="dxa"/>
            <w:vMerge w:val="continue"/>
            <w:vAlign w:val="center"/>
          </w:tcPr>
          <w:p>
            <w:pPr>
              <w:rPr>
                <w:rFonts w:hint="eastAsia" w:ascii="仿宋_GB2312" w:hAnsi="宋体" w:eastAsia="仿宋_GB2312" w:cs="宋体"/>
                <w:color w:val="000000"/>
                <w:sz w:val="18"/>
                <w:szCs w:val="18"/>
              </w:rPr>
            </w:pPr>
          </w:p>
        </w:tc>
        <w:tc>
          <w:tcPr>
            <w:tcW w:w="100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教育统计数据</w:t>
            </w:r>
          </w:p>
        </w:tc>
        <w:tc>
          <w:tcPr>
            <w:tcW w:w="185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学校数据、在校生数据、教师数据、办学条件数据、县级汇总数据</w:t>
            </w:r>
          </w:p>
        </w:tc>
        <w:tc>
          <w:tcPr>
            <w:tcW w:w="2520" w:type="dxa"/>
            <w:vMerge w:val="continue"/>
            <w:vAlign w:val="center"/>
          </w:tcPr>
          <w:p>
            <w:pPr>
              <w:rPr>
                <w:rFonts w:hint="eastAsia" w:ascii="仿宋_GB2312" w:hAnsi="宋体" w:eastAsia="仿宋_GB2312" w:cs="宋体"/>
                <w:color w:val="000000"/>
                <w:sz w:val="18"/>
                <w:szCs w:val="18"/>
              </w:rPr>
            </w:pP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909"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841"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7"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43"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13"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cantSplit/>
        </w:trPr>
        <w:tc>
          <w:tcPr>
            <w:tcW w:w="540" w:type="dxa"/>
            <w:vMerge w:val="continue"/>
            <w:vAlign w:val="center"/>
          </w:tcPr>
          <w:p>
            <w:pPr>
              <w:rPr>
                <w:rFonts w:hint="eastAsia" w:ascii="仿宋_GB2312" w:hAnsi="宋体" w:eastAsia="仿宋_GB2312" w:cs="宋体"/>
                <w:color w:val="000000"/>
                <w:sz w:val="18"/>
                <w:szCs w:val="18"/>
              </w:rPr>
            </w:pPr>
          </w:p>
        </w:tc>
        <w:tc>
          <w:tcPr>
            <w:tcW w:w="920" w:type="dxa"/>
            <w:vMerge w:val="continue"/>
            <w:vAlign w:val="center"/>
          </w:tcPr>
          <w:p>
            <w:pPr>
              <w:rPr>
                <w:rFonts w:hint="eastAsia" w:ascii="仿宋_GB2312" w:hAnsi="宋体" w:eastAsia="仿宋_GB2312" w:cs="宋体"/>
                <w:color w:val="000000"/>
                <w:sz w:val="18"/>
                <w:szCs w:val="18"/>
              </w:rPr>
            </w:pPr>
          </w:p>
        </w:tc>
        <w:tc>
          <w:tcPr>
            <w:tcW w:w="100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义务教育学校名录</w:t>
            </w:r>
          </w:p>
        </w:tc>
        <w:tc>
          <w:tcPr>
            <w:tcW w:w="185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学校名称、学校地址、办学层次、办学类型、办公电话</w:t>
            </w:r>
          </w:p>
        </w:tc>
        <w:tc>
          <w:tcPr>
            <w:tcW w:w="2520" w:type="dxa"/>
            <w:shd w:val="clear" w:color="auto" w:fill="auto"/>
            <w:vAlign w:val="center"/>
          </w:tcPr>
          <w:p>
            <w:pPr>
              <w:rPr>
                <w:rFonts w:hint="eastAsia" w:ascii="仿宋_GB2312" w:hAnsi="宋体" w:eastAsia="仿宋_GB2312" w:cs="宋体"/>
                <w:color w:val="000000"/>
                <w:sz w:val="18"/>
                <w:szCs w:val="18"/>
                <w:lang w:eastAsia="zh-CN"/>
              </w:rPr>
            </w:pPr>
            <w:r>
              <w:rPr>
                <w:rFonts w:hint="eastAsia" w:ascii="仿宋_GB2312" w:hAnsi="宋体" w:eastAsia="仿宋_GB2312"/>
                <w:color w:val="000000"/>
                <w:sz w:val="18"/>
                <w:szCs w:val="18"/>
                <w:lang w:eastAsia="zh-CN"/>
              </w:rPr>
              <w:t>政府信息公开条例</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909"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841"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7"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43"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13"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cantSplit/>
          <w:trHeight w:val="2088" w:hRule="atLeast"/>
        </w:trPr>
        <w:tc>
          <w:tcPr>
            <w:tcW w:w="540" w:type="dxa"/>
            <w:vMerge w:val="restart"/>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3</w:t>
            </w:r>
          </w:p>
        </w:tc>
        <w:tc>
          <w:tcPr>
            <w:tcW w:w="920"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民办学校信息</w:t>
            </w:r>
          </w:p>
        </w:tc>
        <w:tc>
          <w:tcPr>
            <w:tcW w:w="100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民办学校办学基本信息</w:t>
            </w:r>
          </w:p>
        </w:tc>
        <w:tc>
          <w:tcPr>
            <w:tcW w:w="185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学校名称、办学许可证、办学规模、联系方式</w:t>
            </w:r>
          </w:p>
        </w:tc>
        <w:tc>
          <w:tcPr>
            <w:tcW w:w="2520" w:type="dxa"/>
            <w:vMerge w:val="restart"/>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《民办教育促进法》、</w:t>
            </w: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、《国务院关于鼓励社会力量兴办教育 促进民办教育健康发展的若干意见》</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909"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841"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7"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43"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13"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cantSplit/>
        </w:trPr>
        <w:tc>
          <w:tcPr>
            <w:tcW w:w="540" w:type="dxa"/>
            <w:vMerge w:val="continue"/>
            <w:vAlign w:val="center"/>
          </w:tcPr>
          <w:p>
            <w:pPr>
              <w:rPr>
                <w:rFonts w:hint="eastAsia" w:ascii="仿宋_GB2312" w:hAnsi="宋体" w:eastAsia="仿宋_GB2312" w:cs="宋体"/>
                <w:color w:val="000000"/>
                <w:sz w:val="18"/>
                <w:szCs w:val="18"/>
              </w:rPr>
            </w:pPr>
          </w:p>
        </w:tc>
        <w:tc>
          <w:tcPr>
            <w:tcW w:w="920" w:type="dxa"/>
            <w:vMerge w:val="continue"/>
            <w:vAlign w:val="center"/>
          </w:tcPr>
          <w:p>
            <w:pPr>
              <w:rPr>
                <w:rFonts w:hint="eastAsia" w:ascii="仿宋_GB2312" w:hAnsi="宋体" w:eastAsia="仿宋_GB2312" w:cs="宋体"/>
                <w:color w:val="000000"/>
                <w:sz w:val="18"/>
                <w:szCs w:val="18"/>
              </w:rPr>
            </w:pPr>
          </w:p>
        </w:tc>
        <w:tc>
          <w:tcPr>
            <w:tcW w:w="100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民办学校设立、变更、终止等事项行政审批、备案信息</w:t>
            </w:r>
          </w:p>
        </w:tc>
        <w:tc>
          <w:tcPr>
            <w:tcW w:w="185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法律依据、办理流程、审批结果</w:t>
            </w:r>
          </w:p>
        </w:tc>
        <w:tc>
          <w:tcPr>
            <w:tcW w:w="2520" w:type="dxa"/>
            <w:vMerge w:val="continue"/>
            <w:vAlign w:val="center"/>
          </w:tcPr>
          <w:p>
            <w:pPr>
              <w:rPr>
                <w:rFonts w:hint="eastAsia" w:ascii="仿宋_GB2312" w:hAnsi="宋体" w:eastAsia="仿宋_GB2312" w:cs="宋体"/>
                <w:color w:val="000000"/>
                <w:sz w:val="18"/>
                <w:szCs w:val="18"/>
              </w:rPr>
            </w:pP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909"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841"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7"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43"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13"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cantSplit/>
        </w:trPr>
        <w:tc>
          <w:tcPr>
            <w:tcW w:w="540" w:type="dxa"/>
            <w:vMerge w:val="continue"/>
            <w:vAlign w:val="center"/>
          </w:tcPr>
          <w:p>
            <w:pPr>
              <w:rPr>
                <w:rFonts w:hint="eastAsia" w:ascii="仿宋_GB2312" w:hAnsi="宋体" w:eastAsia="仿宋_GB2312" w:cs="宋体"/>
                <w:color w:val="000000"/>
                <w:sz w:val="18"/>
                <w:szCs w:val="18"/>
              </w:rPr>
            </w:pPr>
          </w:p>
        </w:tc>
        <w:tc>
          <w:tcPr>
            <w:tcW w:w="920" w:type="dxa"/>
            <w:vMerge w:val="continue"/>
            <w:vAlign w:val="center"/>
          </w:tcPr>
          <w:p>
            <w:pPr>
              <w:rPr>
                <w:rFonts w:hint="eastAsia" w:ascii="仿宋_GB2312" w:hAnsi="宋体" w:eastAsia="仿宋_GB2312" w:cs="宋体"/>
                <w:color w:val="000000"/>
                <w:sz w:val="18"/>
                <w:szCs w:val="18"/>
              </w:rPr>
            </w:pPr>
          </w:p>
        </w:tc>
        <w:tc>
          <w:tcPr>
            <w:tcW w:w="100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日常监管信息</w:t>
            </w:r>
          </w:p>
        </w:tc>
        <w:tc>
          <w:tcPr>
            <w:tcW w:w="185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年检指标、年检程序、年检结果、行政处罚信息</w:t>
            </w:r>
          </w:p>
        </w:tc>
        <w:tc>
          <w:tcPr>
            <w:tcW w:w="2520" w:type="dxa"/>
            <w:vMerge w:val="continue"/>
            <w:vAlign w:val="center"/>
          </w:tcPr>
          <w:p>
            <w:pPr>
              <w:rPr>
                <w:rFonts w:hint="eastAsia" w:ascii="仿宋_GB2312" w:hAnsi="宋体" w:eastAsia="仿宋_GB2312" w:cs="宋体"/>
                <w:color w:val="000000"/>
                <w:sz w:val="18"/>
                <w:szCs w:val="18"/>
              </w:rPr>
            </w:pP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909"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841"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7"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43"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13"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cantSplit/>
        </w:trPr>
        <w:tc>
          <w:tcPr>
            <w:tcW w:w="540" w:type="dxa"/>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4</w:t>
            </w:r>
          </w:p>
        </w:tc>
        <w:tc>
          <w:tcPr>
            <w:tcW w:w="9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财务信息</w:t>
            </w:r>
          </w:p>
        </w:tc>
        <w:tc>
          <w:tcPr>
            <w:tcW w:w="1005" w:type="dxa"/>
            <w:shd w:val="clear" w:color="auto" w:fill="auto"/>
            <w:noWrap/>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财务信息</w:t>
            </w:r>
          </w:p>
        </w:tc>
        <w:tc>
          <w:tcPr>
            <w:tcW w:w="1855" w:type="dxa"/>
            <w:shd w:val="clear" w:color="auto" w:fill="auto"/>
            <w:vAlign w:val="center"/>
          </w:tcPr>
          <w:p>
            <w:pPr>
              <w:jc w:val="left"/>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财务管理及监督办法、</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年度经费预决算信息、收费项目及收费标准</w:t>
            </w:r>
          </w:p>
        </w:tc>
        <w:tc>
          <w:tcPr>
            <w:tcW w:w="2520" w:type="dxa"/>
            <w:shd w:val="clear" w:color="auto" w:fill="auto"/>
            <w:vAlign w:val="center"/>
          </w:tcPr>
          <w:p>
            <w:pPr>
              <w:rPr>
                <w:rFonts w:hint="eastAsia" w:ascii="仿宋_GB2312" w:hAnsi="宋体" w:eastAsia="仿宋_GB2312" w:cs="宋体"/>
                <w:color w:val="000000"/>
                <w:sz w:val="18"/>
                <w:szCs w:val="18"/>
                <w:lang w:eastAsia="zh-CN"/>
              </w:rPr>
            </w:pPr>
            <w:r>
              <w:rPr>
                <w:rFonts w:hint="eastAsia" w:ascii="仿宋_GB2312" w:hAnsi="宋体" w:eastAsia="仿宋_GB2312"/>
                <w:color w:val="000000"/>
                <w:sz w:val="18"/>
                <w:szCs w:val="18"/>
                <w:lang w:eastAsia="zh-CN"/>
              </w:rPr>
              <w:t>政府信息公开条例</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909" w:type="dxa"/>
            <w:shd w:val="clear" w:color="auto" w:fill="auto"/>
            <w:vAlign w:val="center"/>
          </w:tcPr>
          <w:p>
            <w:pPr>
              <w:rPr>
                <w:rFonts w:hint="eastAsia" w:ascii="仿宋_GB2312" w:hAnsi="仿宋" w:eastAsia="仿宋_GB2312" w:cs="宋体"/>
                <w:sz w:val="18"/>
                <w:szCs w:val="18"/>
              </w:rPr>
            </w:pPr>
            <w:r>
              <w:rPr>
                <w:rFonts w:hint="eastAsia" w:ascii="仿宋_GB2312" w:hAnsi="仿宋" w:eastAsia="仿宋_GB2312"/>
                <w:sz w:val="18"/>
                <w:szCs w:val="18"/>
              </w:rPr>
              <w:t>县级、乡级教育部门</w:t>
            </w:r>
          </w:p>
        </w:tc>
        <w:tc>
          <w:tcPr>
            <w:tcW w:w="841"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7"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43"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13"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cantSplit/>
        </w:trPr>
        <w:tc>
          <w:tcPr>
            <w:tcW w:w="540" w:type="dxa"/>
            <w:vMerge w:val="restart"/>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5</w:t>
            </w:r>
          </w:p>
        </w:tc>
        <w:tc>
          <w:tcPr>
            <w:tcW w:w="920" w:type="dxa"/>
            <w:vMerge w:val="restart"/>
            <w:shd w:val="clear" w:color="auto" w:fill="auto"/>
            <w:noWrap/>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招生管理</w:t>
            </w:r>
          </w:p>
        </w:tc>
        <w:tc>
          <w:tcPr>
            <w:tcW w:w="1005"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学校介绍</w:t>
            </w:r>
          </w:p>
        </w:tc>
        <w:tc>
          <w:tcPr>
            <w:tcW w:w="1855"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办学性质、办学地点、办学规模、办学基本条件、联系方式等</w:t>
            </w:r>
          </w:p>
        </w:tc>
        <w:tc>
          <w:tcPr>
            <w:tcW w:w="2520" w:type="dxa"/>
            <w:vMerge w:val="restart"/>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lang w:eastAsia="zh-CN"/>
              </w:rPr>
              <w:t>政府信息公开条例</w:t>
            </w:r>
            <w:r>
              <w:rPr>
                <w:rFonts w:hint="eastAsia" w:ascii="仿宋_GB2312" w:hAnsi="宋体" w:eastAsia="仿宋_GB2312"/>
                <w:sz w:val="18"/>
                <w:szCs w:val="18"/>
              </w:rPr>
              <w:t>、《教育部关于进一步做好小学升入初中免试就近入学工作的实施意见》、《教育部关于推进中小学信息公开工作的意见》</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909" w:type="dxa"/>
            <w:shd w:val="clear" w:color="auto" w:fill="auto"/>
            <w:vAlign w:val="center"/>
          </w:tcPr>
          <w:p>
            <w:pPr>
              <w:rPr>
                <w:rFonts w:hint="eastAsia" w:ascii="仿宋_GB2312" w:hAnsi="仿宋" w:eastAsia="仿宋_GB2312" w:cs="宋体"/>
                <w:sz w:val="18"/>
                <w:szCs w:val="18"/>
              </w:rPr>
            </w:pPr>
            <w:r>
              <w:rPr>
                <w:rFonts w:hint="eastAsia" w:ascii="仿宋_GB2312" w:hAnsi="仿宋" w:eastAsia="仿宋_GB2312"/>
                <w:sz w:val="18"/>
                <w:szCs w:val="18"/>
              </w:rPr>
              <w:t>县级、乡级教育部门</w:t>
            </w:r>
          </w:p>
        </w:tc>
        <w:tc>
          <w:tcPr>
            <w:tcW w:w="841"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547"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443"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513"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gridSpan w:val="2"/>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cantSplit/>
        </w:trPr>
        <w:tc>
          <w:tcPr>
            <w:tcW w:w="540" w:type="dxa"/>
            <w:vMerge w:val="continue"/>
            <w:vAlign w:val="center"/>
          </w:tcPr>
          <w:p>
            <w:pPr>
              <w:rPr>
                <w:rFonts w:hint="eastAsia" w:ascii="仿宋_GB2312" w:hAnsi="宋体" w:eastAsia="仿宋_GB2312" w:cs="宋体"/>
                <w:color w:val="000000"/>
                <w:sz w:val="18"/>
                <w:szCs w:val="18"/>
              </w:rPr>
            </w:pPr>
          </w:p>
        </w:tc>
        <w:tc>
          <w:tcPr>
            <w:tcW w:w="920" w:type="dxa"/>
            <w:vMerge w:val="continue"/>
            <w:vAlign w:val="center"/>
          </w:tcPr>
          <w:p>
            <w:pPr>
              <w:rPr>
                <w:rFonts w:hint="eastAsia" w:ascii="仿宋_GB2312" w:hAnsi="宋体" w:eastAsia="仿宋_GB2312" w:cs="宋体"/>
                <w:sz w:val="18"/>
                <w:szCs w:val="18"/>
              </w:rPr>
            </w:pPr>
          </w:p>
        </w:tc>
        <w:tc>
          <w:tcPr>
            <w:tcW w:w="1005" w:type="dxa"/>
            <w:shd w:val="clear" w:color="auto" w:fill="auto"/>
            <w:noWrap/>
            <w:vAlign w:val="center"/>
          </w:tcPr>
          <w:p>
            <w:pPr>
              <w:rPr>
                <w:rFonts w:hint="eastAsia" w:ascii="仿宋_GB2312" w:hAnsi="宋体" w:eastAsia="仿宋_GB2312"/>
                <w:sz w:val="18"/>
                <w:szCs w:val="18"/>
              </w:rPr>
            </w:pPr>
            <w:r>
              <w:rPr>
                <w:rFonts w:hint="eastAsia" w:ascii="仿宋_GB2312" w:hAnsi="宋体" w:eastAsia="仿宋_GB2312"/>
                <w:sz w:val="18"/>
                <w:szCs w:val="18"/>
              </w:rPr>
              <w:t>招生政策</w:t>
            </w:r>
          </w:p>
        </w:tc>
        <w:tc>
          <w:tcPr>
            <w:tcW w:w="1855"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各校招生工作实施方案；随迁子女入学办法；部分适龄儿童或少年延缓入学、休学等特殊需求的政策解读等</w:t>
            </w:r>
          </w:p>
        </w:tc>
        <w:tc>
          <w:tcPr>
            <w:tcW w:w="2520" w:type="dxa"/>
            <w:vMerge w:val="continue"/>
            <w:vAlign w:val="center"/>
          </w:tcPr>
          <w:p>
            <w:pPr>
              <w:rPr>
                <w:rFonts w:hint="eastAsia" w:ascii="仿宋_GB2312" w:hAnsi="宋体" w:eastAsia="仿宋_GB2312" w:cs="宋体"/>
                <w:sz w:val="18"/>
                <w:szCs w:val="18"/>
              </w:rPr>
            </w:pP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909" w:type="dxa"/>
            <w:shd w:val="clear" w:color="auto" w:fill="auto"/>
            <w:vAlign w:val="center"/>
          </w:tcPr>
          <w:p>
            <w:pPr>
              <w:rPr>
                <w:rFonts w:hint="eastAsia" w:ascii="仿宋_GB2312" w:hAnsi="仿宋" w:eastAsia="仿宋_GB2312" w:cs="宋体"/>
                <w:sz w:val="18"/>
                <w:szCs w:val="18"/>
              </w:rPr>
            </w:pPr>
            <w:r>
              <w:rPr>
                <w:rFonts w:hint="eastAsia" w:ascii="仿宋_GB2312" w:hAnsi="仿宋" w:eastAsia="仿宋_GB2312"/>
                <w:sz w:val="18"/>
                <w:szCs w:val="18"/>
              </w:rPr>
              <w:t>县（市、区）教育部门</w:t>
            </w:r>
          </w:p>
        </w:tc>
        <w:tc>
          <w:tcPr>
            <w:tcW w:w="841"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547"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443"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513"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gridSpan w:val="2"/>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shd w:val="clear" w:color="auto" w:fill="auto"/>
            <w:vAlign w:val="center"/>
          </w:tcPr>
          <w:p>
            <w:pPr>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cantSplit/>
        </w:trPr>
        <w:tc>
          <w:tcPr>
            <w:tcW w:w="540" w:type="dxa"/>
            <w:vMerge w:val="restart"/>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5</w:t>
            </w:r>
          </w:p>
        </w:tc>
        <w:tc>
          <w:tcPr>
            <w:tcW w:w="920" w:type="dxa"/>
            <w:vMerge w:val="restart"/>
            <w:shd w:val="clear" w:color="auto" w:fill="auto"/>
            <w:noWrap/>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招生管理</w:t>
            </w:r>
          </w:p>
        </w:tc>
        <w:tc>
          <w:tcPr>
            <w:tcW w:w="1005" w:type="dxa"/>
            <w:shd w:val="clear" w:color="auto" w:fill="auto"/>
            <w:vAlign w:val="center"/>
          </w:tcPr>
          <w:p>
            <w:pPr>
              <w:rPr>
                <w:rFonts w:hint="eastAsia" w:ascii="仿宋_GB2312" w:hAnsi="宋体" w:eastAsia="仿宋_GB2312"/>
                <w:sz w:val="18"/>
                <w:szCs w:val="18"/>
              </w:rPr>
            </w:pPr>
            <w:r>
              <w:rPr>
                <w:rFonts w:hint="eastAsia" w:ascii="仿宋_GB2312" w:hAnsi="宋体" w:eastAsia="仿宋_GB2312"/>
                <w:sz w:val="18"/>
                <w:szCs w:val="18"/>
              </w:rPr>
              <w:t>招生计划</w:t>
            </w:r>
          </w:p>
        </w:tc>
        <w:tc>
          <w:tcPr>
            <w:tcW w:w="1855"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各校本年度招生计划</w:t>
            </w:r>
          </w:p>
        </w:tc>
        <w:tc>
          <w:tcPr>
            <w:tcW w:w="2520" w:type="dxa"/>
            <w:vMerge w:val="restart"/>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lang w:eastAsia="zh-CN"/>
              </w:rPr>
              <w:t>政府信息公开条例</w:t>
            </w:r>
            <w:r>
              <w:rPr>
                <w:rFonts w:hint="eastAsia" w:ascii="仿宋_GB2312" w:hAnsi="宋体" w:eastAsia="仿宋_GB2312"/>
                <w:sz w:val="18"/>
                <w:szCs w:val="18"/>
              </w:rPr>
              <w:t>、《教育部关于进一步做好小学升入初中免试就近入学工作的实施意见》《教育部关于推进中小学信息公开工作的意见》</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909" w:type="dxa"/>
            <w:shd w:val="clear" w:color="auto" w:fill="auto"/>
            <w:vAlign w:val="center"/>
          </w:tcPr>
          <w:p>
            <w:pPr>
              <w:rPr>
                <w:rFonts w:hint="eastAsia" w:ascii="仿宋_GB2312" w:hAnsi="仿宋" w:eastAsia="仿宋_GB2312" w:cs="宋体"/>
                <w:sz w:val="18"/>
                <w:szCs w:val="18"/>
              </w:rPr>
            </w:pPr>
            <w:r>
              <w:rPr>
                <w:rFonts w:hint="eastAsia" w:ascii="仿宋_GB2312" w:hAnsi="仿宋" w:eastAsia="仿宋_GB2312"/>
                <w:sz w:val="18"/>
                <w:szCs w:val="18"/>
              </w:rPr>
              <w:t>县（市、区）教育部门</w:t>
            </w:r>
          </w:p>
        </w:tc>
        <w:tc>
          <w:tcPr>
            <w:tcW w:w="841"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547"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443"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513"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gridSpan w:val="2"/>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shd w:val="clear" w:color="auto" w:fill="auto"/>
            <w:vAlign w:val="center"/>
          </w:tcPr>
          <w:p>
            <w:pPr>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cantSplit/>
        </w:trPr>
        <w:tc>
          <w:tcPr>
            <w:tcW w:w="540" w:type="dxa"/>
            <w:vMerge w:val="continue"/>
            <w:vAlign w:val="center"/>
          </w:tcPr>
          <w:p>
            <w:pPr>
              <w:rPr>
                <w:rFonts w:hint="eastAsia" w:ascii="仿宋_GB2312" w:hAnsi="宋体" w:eastAsia="仿宋_GB2312" w:cs="宋体"/>
                <w:color w:val="000000"/>
                <w:sz w:val="18"/>
                <w:szCs w:val="18"/>
              </w:rPr>
            </w:pPr>
          </w:p>
        </w:tc>
        <w:tc>
          <w:tcPr>
            <w:tcW w:w="920" w:type="dxa"/>
            <w:vMerge w:val="continue"/>
            <w:vAlign w:val="center"/>
          </w:tcPr>
          <w:p>
            <w:pPr>
              <w:rPr>
                <w:rFonts w:hint="eastAsia" w:ascii="仿宋_GB2312" w:hAnsi="宋体" w:eastAsia="仿宋_GB2312" w:cs="宋体"/>
                <w:sz w:val="18"/>
                <w:szCs w:val="18"/>
              </w:rPr>
            </w:pPr>
          </w:p>
        </w:tc>
        <w:tc>
          <w:tcPr>
            <w:tcW w:w="1005" w:type="dxa"/>
            <w:shd w:val="clear" w:color="auto" w:fill="auto"/>
            <w:noWrap/>
            <w:vAlign w:val="center"/>
          </w:tcPr>
          <w:p>
            <w:pPr>
              <w:rPr>
                <w:rFonts w:hint="eastAsia" w:ascii="仿宋_GB2312" w:hAnsi="宋体" w:eastAsia="仿宋_GB2312"/>
                <w:sz w:val="18"/>
                <w:szCs w:val="18"/>
              </w:rPr>
            </w:pPr>
            <w:r>
              <w:rPr>
                <w:rFonts w:hint="eastAsia" w:ascii="仿宋_GB2312" w:hAnsi="宋体" w:eastAsia="仿宋_GB2312"/>
                <w:sz w:val="18"/>
                <w:szCs w:val="18"/>
              </w:rPr>
              <w:t>招生范围</w:t>
            </w:r>
          </w:p>
        </w:tc>
        <w:tc>
          <w:tcPr>
            <w:tcW w:w="1855"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招生范围、学区划分详细情况</w:t>
            </w:r>
          </w:p>
        </w:tc>
        <w:tc>
          <w:tcPr>
            <w:tcW w:w="2520" w:type="dxa"/>
            <w:vMerge w:val="continue"/>
            <w:vAlign w:val="center"/>
          </w:tcPr>
          <w:p>
            <w:pPr>
              <w:rPr>
                <w:rFonts w:hint="eastAsia" w:ascii="仿宋_GB2312" w:hAnsi="宋体" w:eastAsia="仿宋_GB2312" w:cs="宋体"/>
                <w:sz w:val="18"/>
                <w:szCs w:val="18"/>
              </w:rPr>
            </w:pP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909" w:type="dxa"/>
            <w:shd w:val="clear" w:color="auto" w:fill="auto"/>
            <w:vAlign w:val="center"/>
          </w:tcPr>
          <w:p>
            <w:pPr>
              <w:rPr>
                <w:rFonts w:hint="eastAsia" w:ascii="仿宋_GB2312" w:hAnsi="仿宋" w:eastAsia="仿宋_GB2312" w:cs="宋体"/>
                <w:sz w:val="18"/>
                <w:szCs w:val="18"/>
              </w:rPr>
            </w:pPr>
            <w:r>
              <w:rPr>
                <w:rFonts w:hint="eastAsia" w:ascii="仿宋_GB2312" w:hAnsi="仿宋" w:eastAsia="仿宋_GB2312"/>
                <w:sz w:val="18"/>
                <w:szCs w:val="18"/>
              </w:rPr>
              <w:t>县（市、区）教育部门</w:t>
            </w:r>
          </w:p>
        </w:tc>
        <w:tc>
          <w:tcPr>
            <w:tcW w:w="841"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547" w:type="dxa"/>
            <w:shd w:val="clear" w:color="auto" w:fill="auto"/>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443"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513" w:type="dxa"/>
            <w:shd w:val="clear" w:color="auto" w:fill="auto"/>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gridSpan w:val="2"/>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shd w:val="clear" w:color="auto" w:fill="auto"/>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cantSplit/>
        </w:trPr>
        <w:tc>
          <w:tcPr>
            <w:tcW w:w="540" w:type="dxa"/>
            <w:vMerge w:val="continue"/>
            <w:vAlign w:val="center"/>
          </w:tcPr>
          <w:p>
            <w:pPr>
              <w:rPr>
                <w:rFonts w:hint="eastAsia" w:ascii="仿宋_GB2312" w:hAnsi="宋体" w:eastAsia="仿宋_GB2312" w:cs="宋体"/>
                <w:color w:val="000000"/>
                <w:sz w:val="18"/>
                <w:szCs w:val="18"/>
              </w:rPr>
            </w:pPr>
          </w:p>
        </w:tc>
        <w:tc>
          <w:tcPr>
            <w:tcW w:w="920" w:type="dxa"/>
            <w:vMerge w:val="continue"/>
            <w:vAlign w:val="center"/>
          </w:tcPr>
          <w:p>
            <w:pPr>
              <w:rPr>
                <w:rFonts w:hint="eastAsia" w:ascii="仿宋_GB2312" w:hAnsi="宋体" w:eastAsia="仿宋_GB2312" w:cs="宋体"/>
                <w:sz w:val="18"/>
                <w:szCs w:val="18"/>
              </w:rPr>
            </w:pPr>
          </w:p>
        </w:tc>
        <w:tc>
          <w:tcPr>
            <w:tcW w:w="1005" w:type="dxa"/>
            <w:shd w:val="clear" w:color="auto" w:fill="auto"/>
            <w:vAlign w:val="center"/>
          </w:tcPr>
          <w:p>
            <w:pPr>
              <w:rPr>
                <w:rFonts w:hint="eastAsia" w:ascii="仿宋_GB2312" w:hAnsi="宋体" w:eastAsia="仿宋_GB2312"/>
                <w:sz w:val="18"/>
                <w:szCs w:val="18"/>
              </w:rPr>
            </w:pPr>
            <w:r>
              <w:rPr>
                <w:rFonts w:hint="eastAsia" w:ascii="仿宋_GB2312" w:hAnsi="宋体" w:eastAsia="仿宋_GB2312"/>
                <w:sz w:val="18"/>
                <w:szCs w:val="18"/>
              </w:rPr>
              <w:t>招生结果</w:t>
            </w:r>
          </w:p>
        </w:tc>
        <w:tc>
          <w:tcPr>
            <w:tcW w:w="1855"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各校本年度招生结果</w:t>
            </w:r>
          </w:p>
        </w:tc>
        <w:tc>
          <w:tcPr>
            <w:tcW w:w="2520" w:type="dxa"/>
            <w:vMerge w:val="continue"/>
            <w:vAlign w:val="center"/>
          </w:tcPr>
          <w:p>
            <w:pPr>
              <w:rPr>
                <w:rFonts w:hint="eastAsia" w:ascii="仿宋_GB2312" w:hAnsi="宋体" w:eastAsia="仿宋_GB2312" w:cs="宋体"/>
                <w:sz w:val="18"/>
                <w:szCs w:val="18"/>
              </w:rPr>
            </w:pP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909" w:type="dxa"/>
            <w:shd w:val="clear" w:color="auto" w:fill="auto"/>
            <w:vAlign w:val="center"/>
          </w:tcPr>
          <w:p>
            <w:pPr>
              <w:rPr>
                <w:rFonts w:hint="eastAsia" w:ascii="仿宋_GB2312" w:hAnsi="仿宋" w:eastAsia="仿宋_GB2312" w:cs="宋体"/>
                <w:sz w:val="18"/>
                <w:szCs w:val="18"/>
              </w:rPr>
            </w:pPr>
            <w:r>
              <w:rPr>
                <w:rFonts w:hint="eastAsia" w:ascii="仿宋_GB2312" w:hAnsi="仿宋" w:eastAsia="仿宋_GB2312"/>
                <w:sz w:val="18"/>
                <w:szCs w:val="18"/>
              </w:rPr>
              <w:t>县（市、区）教育部门</w:t>
            </w:r>
          </w:p>
        </w:tc>
        <w:tc>
          <w:tcPr>
            <w:tcW w:w="841"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547" w:type="dxa"/>
            <w:shd w:val="clear" w:color="auto" w:fill="auto"/>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443"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513" w:type="dxa"/>
            <w:shd w:val="clear" w:color="auto" w:fill="auto"/>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gridSpan w:val="2"/>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shd w:val="clear" w:color="auto" w:fill="auto"/>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cantSplit/>
        </w:trPr>
        <w:tc>
          <w:tcPr>
            <w:tcW w:w="540"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6</w:t>
            </w:r>
          </w:p>
        </w:tc>
        <w:tc>
          <w:tcPr>
            <w:tcW w:w="920" w:type="dxa"/>
            <w:vMerge w:val="restart"/>
            <w:shd w:val="clear" w:color="auto" w:fill="auto"/>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学生管理</w:t>
            </w:r>
          </w:p>
        </w:tc>
        <w:tc>
          <w:tcPr>
            <w:tcW w:w="1005" w:type="dxa"/>
            <w:shd w:val="clear" w:color="auto" w:fill="auto"/>
            <w:vAlign w:val="center"/>
          </w:tcPr>
          <w:p>
            <w:pPr>
              <w:rPr>
                <w:rFonts w:hint="eastAsia" w:ascii="仿宋_GB2312" w:hAnsi="宋体" w:eastAsia="仿宋_GB2312"/>
                <w:sz w:val="18"/>
                <w:szCs w:val="18"/>
              </w:rPr>
            </w:pPr>
            <w:r>
              <w:rPr>
                <w:rFonts w:hint="eastAsia" w:ascii="仿宋_GB2312" w:hAnsi="宋体" w:eastAsia="仿宋_GB2312"/>
                <w:sz w:val="18"/>
                <w:szCs w:val="18"/>
              </w:rPr>
              <w:t>学籍管理</w:t>
            </w:r>
          </w:p>
        </w:tc>
        <w:tc>
          <w:tcPr>
            <w:tcW w:w="1855"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区域内义务教育阶段学生休学、复学、转学相关政策及所需材料和办理流程；适龄儿童延缓入学所需材料及办理流程；学籍证明、毕（结）业证书遗失办理学历证明确认</w:t>
            </w:r>
          </w:p>
        </w:tc>
        <w:tc>
          <w:tcPr>
            <w:tcW w:w="2520"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《义务教育法》、</w:t>
            </w:r>
            <w:r>
              <w:rPr>
                <w:rFonts w:hint="eastAsia" w:ascii="仿宋_GB2312" w:hAnsi="宋体" w:eastAsia="仿宋_GB2312"/>
                <w:sz w:val="18"/>
                <w:szCs w:val="18"/>
                <w:lang w:eastAsia="zh-CN"/>
              </w:rPr>
              <w:t>政府信息公开条例</w:t>
            </w:r>
            <w:r>
              <w:rPr>
                <w:rFonts w:hint="eastAsia" w:ascii="仿宋_GB2312" w:hAnsi="宋体" w:eastAsia="仿宋_GB2312"/>
                <w:sz w:val="18"/>
                <w:szCs w:val="18"/>
              </w:rPr>
              <w:t>、《中小学生学籍管理办法》</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909" w:type="dxa"/>
            <w:shd w:val="clear" w:color="auto" w:fill="auto"/>
            <w:vAlign w:val="center"/>
          </w:tcPr>
          <w:p>
            <w:pPr>
              <w:rPr>
                <w:rFonts w:hint="eastAsia" w:ascii="仿宋_GB2312" w:hAnsi="仿宋" w:eastAsia="仿宋_GB2312" w:cs="宋体"/>
                <w:sz w:val="18"/>
                <w:szCs w:val="18"/>
              </w:rPr>
            </w:pPr>
            <w:r>
              <w:rPr>
                <w:rFonts w:hint="eastAsia" w:ascii="仿宋_GB2312" w:hAnsi="仿宋" w:eastAsia="仿宋_GB2312"/>
                <w:sz w:val="18"/>
                <w:szCs w:val="18"/>
              </w:rPr>
              <w:t>县（市、区）教育部门</w:t>
            </w:r>
          </w:p>
        </w:tc>
        <w:tc>
          <w:tcPr>
            <w:tcW w:w="841"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547" w:type="dxa"/>
            <w:shd w:val="clear" w:color="auto" w:fill="auto"/>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443"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513" w:type="dxa"/>
            <w:shd w:val="clear" w:color="auto" w:fill="auto"/>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gridSpan w:val="2"/>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shd w:val="clear" w:color="auto" w:fill="auto"/>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cantSplit/>
        </w:trPr>
        <w:tc>
          <w:tcPr>
            <w:tcW w:w="540" w:type="dxa"/>
            <w:vMerge w:val="continue"/>
            <w:vAlign w:val="center"/>
          </w:tcPr>
          <w:p>
            <w:pPr>
              <w:rPr>
                <w:rFonts w:hint="eastAsia" w:ascii="仿宋_GB2312" w:hAnsi="宋体" w:eastAsia="仿宋_GB2312" w:cs="宋体"/>
                <w:color w:val="000000"/>
                <w:sz w:val="18"/>
                <w:szCs w:val="18"/>
              </w:rPr>
            </w:pPr>
          </w:p>
        </w:tc>
        <w:tc>
          <w:tcPr>
            <w:tcW w:w="920" w:type="dxa"/>
            <w:vMerge w:val="continue"/>
            <w:vAlign w:val="center"/>
          </w:tcPr>
          <w:p>
            <w:pPr>
              <w:rPr>
                <w:rFonts w:hint="eastAsia" w:ascii="仿宋_GB2312" w:hAnsi="宋体" w:eastAsia="仿宋_GB2312" w:cs="宋体"/>
                <w:sz w:val="18"/>
                <w:szCs w:val="18"/>
              </w:rPr>
            </w:pPr>
          </w:p>
        </w:tc>
        <w:tc>
          <w:tcPr>
            <w:tcW w:w="1005" w:type="dxa"/>
            <w:shd w:val="clear" w:color="auto" w:fill="auto"/>
            <w:vAlign w:val="center"/>
          </w:tcPr>
          <w:p>
            <w:pPr>
              <w:rPr>
                <w:rFonts w:hint="eastAsia" w:ascii="仿宋_GB2312" w:hAnsi="宋体" w:eastAsia="仿宋_GB2312"/>
                <w:sz w:val="18"/>
                <w:szCs w:val="18"/>
              </w:rPr>
            </w:pPr>
            <w:r>
              <w:rPr>
                <w:rFonts w:hint="eastAsia" w:ascii="仿宋_GB2312" w:hAnsi="宋体" w:eastAsia="仿宋_GB2312"/>
                <w:sz w:val="18"/>
                <w:szCs w:val="18"/>
              </w:rPr>
              <w:t>义务教育学生资助政策</w:t>
            </w:r>
          </w:p>
        </w:tc>
        <w:tc>
          <w:tcPr>
            <w:tcW w:w="185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统一城乡义务教育“两免一补”政策</w:t>
            </w:r>
          </w:p>
        </w:tc>
        <w:tc>
          <w:tcPr>
            <w:tcW w:w="252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、《国务院关于进一步完善城乡义务教育经费保障机制的通知》</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909" w:type="dxa"/>
            <w:shd w:val="clear" w:color="auto" w:fill="auto"/>
            <w:vAlign w:val="center"/>
          </w:tcPr>
          <w:p>
            <w:pPr>
              <w:rPr>
                <w:rFonts w:hint="eastAsia" w:ascii="仿宋_GB2312" w:hAnsi="仿宋" w:eastAsia="仿宋_GB2312" w:cs="宋体"/>
                <w:sz w:val="18"/>
                <w:szCs w:val="18"/>
              </w:rPr>
            </w:pPr>
            <w:r>
              <w:rPr>
                <w:rFonts w:hint="eastAsia" w:ascii="仿宋_GB2312" w:hAnsi="仿宋" w:eastAsia="仿宋_GB2312"/>
                <w:sz w:val="18"/>
                <w:szCs w:val="18"/>
              </w:rPr>
              <w:t>县级、乡级教育部门</w:t>
            </w:r>
          </w:p>
        </w:tc>
        <w:tc>
          <w:tcPr>
            <w:tcW w:w="841"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7"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43"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13"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cantSplit/>
        </w:trPr>
        <w:tc>
          <w:tcPr>
            <w:tcW w:w="540" w:type="dxa"/>
            <w:vMerge w:val="continue"/>
            <w:vAlign w:val="center"/>
          </w:tcPr>
          <w:p>
            <w:pPr>
              <w:rPr>
                <w:rFonts w:hint="eastAsia" w:ascii="仿宋_GB2312" w:hAnsi="宋体" w:eastAsia="仿宋_GB2312" w:cs="宋体"/>
                <w:color w:val="000000"/>
                <w:sz w:val="18"/>
                <w:szCs w:val="18"/>
              </w:rPr>
            </w:pPr>
          </w:p>
        </w:tc>
        <w:tc>
          <w:tcPr>
            <w:tcW w:w="920" w:type="dxa"/>
            <w:vMerge w:val="continue"/>
            <w:vAlign w:val="center"/>
          </w:tcPr>
          <w:p>
            <w:pPr>
              <w:rPr>
                <w:rFonts w:hint="eastAsia" w:ascii="仿宋_GB2312" w:hAnsi="宋体" w:eastAsia="仿宋_GB2312" w:cs="宋体"/>
                <w:sz w:val="18"/>
                <w:szCs w:val="18"/>
              </w:rPr>
            </w:pPr>
          </w:p>
        </w:tc>
        <w:tc>
          <w:tcPr>
            <w:tcW w:w="1005" w:type="dxa"/>
            <w:shd w:val="clear" w:color="auto" w:fill="auto"/>
            <w:vAlign w:val="center"/>
          </w:tcPr>
          <w:p>
            <w:pPr>
              <w:rPr>
                <w:rFonts w:hint="eastAsia" w:ascii="仿宋_GB2312" w:hAnsi="宋体" w:eastAsia="仿宋_GB2312"/>
                <w:sz w:val="18"/>
                <w:szCs w:val="18"/>
              </w:rPr>
            </w:pPr>
            <w:r>
              <w:rPr>
                <w:rFonts w:hint="eastAsia" w:ascii="仿宋_GB2312" w:hAnsi="宋体" w:eastAsia="仿宋_GB2312"/>
                <w:sz w:val="18"/>
                <w:szCs w:val="18"/>
              </w:rPr>
              <w:t>学生评优奖励</w:t>
            </w:r>
          </w:p>
        </w:tc>
        <w:tc>
          <w:tcPr>
            <w:tcW w:w="1855"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省市县“三好学生”“优秀学生干部”评选标准；评比方法；表彰名单等</w:t>
            </w:r>
          </w:p>
        </w:tc>
        <w:tc>
          <w:tcPr>
            <w:tcW w:w="2520"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lang w:eastAsia="zh-CN"/>
              </w:rPr>
              <w:t>政府信息公开条例</w:t>
            </w:r>
            <w:r>
              <w:rPr>
                <w:rFonts w:hint="eastAsia" w:ascii="仿宋_GB2312" w:hAnsi="宋体" w:eastAsia="仿宋_GB2312"/>
                <w:sz w:val="18"/>
                <w:szCs w:val="18"/>
              </w:rPr>
              <w:t>，当地省市县表彰文件</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909" w:type="dxa"/>
            <w:shd w:val="clear" w:color="auto" w:fill="auto"/>
            <w:vAlign w:val="center"/>
          </w:tcPr>
          <w:p>
            <w:pPr>
              <w:rPr>
                <w:rFonts w:hint="eastAsia" w:ascii="仿宋_GB2312" w:hAnsi="仿宋" w:eastAsia="仿宋_GB2312" w:cs="宋体"/>
                <w:sz w:val="18"/>
                <w:szCs w:val="18"/>
              </w:rPr>
            </w:pPr>
            <w:r>
              <w:rPr>
                <w:rFonts w:hint="eastAsia" w:ascii="仿宋_GB2312" w:hAnsi="仿宋" w:eastAsia="仿宋_GB2312"/>
                <w:sz w:val="18"/>
                <w:szCs w:val="18"/>
              </w:rPr>
              <w:t>县（市、区）教育部门</w:t>
            </w:r>
          </w:p>
        </w:tc>
        <w:tc>
          <w:tcPr>
            <w:tcW w:w="841"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547" w:type="dxa"/>
            <w:shd w:val="clear" w:color="auto" w:fill="auto"/>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443"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513" w:type="dxa"/>
            <w:shd w:val="clear" w:color="auto" w:fill="auto"/>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gridSpan w:val="2"/>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shd w:val="clear" w:color="auto" w:fill="auto"/>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cantSplit/>
        </w:trPr>
        <w:tc>
          <w:tcPr>
            <w:tcW w:w="54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6</w:t>
            </w:r>
          </w:p>
        </w:tc>
        <w:tc>
          <w:tcPr>
            <w:tcW w:w="920" w:type="dxa"/>
            <w:shd w:val="clear" w:color="auto" w:fill="auto"/>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学生管理</w:t>
            </w:r>
          </w:p>
        </w:tc>
        <w:tc>
          <w:tcPr>
            <w:tcW w:w="1005" w:type="dxa"/>
            <w:shd w:val="clear" w:color="auto" w:fill="auto"/>
            <w:vAlign w:val="center"/>
          </w:tcPr>
          <w:p>
            <w:pPr>
              <w:rPr>
                <w:rFonts w:hint="eastAsia" w:ascii="仿宋_GB2312" w:hAnsi="宋体" w:eastAsia="仿宋_GB2312"/>
                <w:sz w:val="18"/>
                <w:szCs w:val="18"/>
              </w:rPr>
            </w:pPr>
            <w:r>
              <w:rPr>
                <w:rFonts w:hint="eastAsia" w:ascii="仿宋_GB2312" w:hAnsi="宋体" w:eastAsia="仿宋_GB2312"/>
                <w:sz w:val="18"/>
                <w:szCs w:val="18"/>
              </w:rPr>
              <w:t>优待政策</w:t>
            </w:r>
          </w:p>
        </w:tc>
        <w:tc>
          <w:tcPr>
            <w:tcW w:w="1855"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军人子女参加中考优待确认办理的材料、流程和政策要求；少数民族考生中考加分确认办理的材料、流程和政策要求；归侨学生、归侨子女、华侨子女和港澳台籍考生中考加分确认；公安英烈和因公牺牲伤残公安民警子女教育优待细则；综合性消防救援队伍人员及其子女教育优待细则</w:t>
            </w:r>
          </w:p>
        </w:tc>
        <w:tc>
          <w:tcPr>
            <w:tcW w:w="2520"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lang w:eastAsia="zh-CN"/>
              </w:rPr>
              <w:t>政府信息公开条例</w:t>
            </w:r>
            <w:r>
              <w:rPr>
                <w:rFonts w:hint="eastAsia" w:ascii="仿宋_GB2312" w:hAnsi="宋体" w:eastAsia="仿宋_GB2312"/>
                <w:sz w:val="18"/>
                <w:szCs w:val="18"/>
              </w:rPr>
              <w:t>、《军人子女教育优待办法》、《国务院办公厅关于严格执行党和国家民族政策有关问题的通知》、《归侨侨眷权益保护法》、《教育部、国务院台湾事务办公室关于进一步做好台湾同胞子女在大陆中小学和幼儿园就读工作的若干意见》等</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909" w:type="dxa"/>
            <w:shd w:val="clear" w:color="auto" w:fill="auto"/>
            <w:vAlign w:val="center"/>
          </w:tcPr>
          <w:p>
            <w:pPr>
              <w:rPr>
                <w:rFonts w:hint="eastAsia" w:ascii="仿宋_GB2312" w:hAnsi="仿宋" w:eastAsia="仿宋_GB2312" w:cs="宋体"/>
                <w:sz w:val="18"/>
                <w:szCs w:val="18"/>
              </w:rPr>
            </w:pPr>
            <w:r>
              <w:rPr>
                <w:rFonts w:hint="eastAsia" w:ascii="仿宋_GB2312" w:hAnsi="仿宋" w:eastAsia="仿宋_GB2312"/>
                <w:sz w:val="18"/>
                <w:szCs w:val="18"/>
              </w:rPr>
              <w:t>县（市、区）教育部门</w:t>
            </w:r>
          </w:p>
        </w:tc>
        <w:tc>
          <w:tcPr>
            <w:tcW w:w="841"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547" w:type="dxa"/>
            <w:shd w:val="clear" w:color="auto" w:fill="auto"/>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443" w:type="dxa"/>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513" w:type="dxa"/>
            <w:shd w:val="clear" w:color="auto" w:fill="auto"/>
            <w:noWrap/>
            <w:vAlign w:val="center"/>
          </w:tcPr>
          <w:p>
            <w:pPr>
              <w:rPr>
                <w:rFonts w:hint="eastAsia" w:ascii="仿宋_GB2312" w:hAnsi="仿宋" w:eastAsia="仿宋_GB2312" w:cs="宋体"/>
                <w:sz w:val="18"/>
                <w:szCs w:val="18"/>
              </w:rPr>
            </w:pPr>
            <w:r>
              <w:rPr>
                <w:rFonts w:hint="eastAsia" w:ascii="仿宋_GB2312" w:hAnsi="仿宋" w:eastAsia="仿宋_GB2312"/>
                <w:sz w:val="18"/>
                <w:szCs w:val="18"/>
              </w:rPr>
              <w:t>　</w:t>
            </w:r>
          </w:p>
        </w:tc>
        <w:tc>
          <w:tcPr>
            <w:tcW w:w="720" w:type="dxa"/>
            <w:gridSpan w:val="2"/>
            <w:shd w:val="clear" w:color="auto" w:fill="auto"/>
            <w:vAlign w:val="center"/>
          </w:tcPr>
          <w:p>
            <w:pPr>
              <w:jc w:val="center"/>
              <w:rPr>
                <w:rFonts w:hint="eastAsia" w:ascii="仿宋_GB2312" w:hAnsi="仿宋" w:eastAsia="仿宋_GB2312" w:cs="宋体"/>
                <w:sz w:val="18"/>
                <w:szCs w:val="18"/>
              </w:rPr>
            </w:pPr>
            <w:r>
              <w:rPr>
                <w:rFonts w:hint="eastAsia" w:ascii="仿宋_GB2312" w:hAnsi="仿宋" w:eastAsia="仿宋_GB2312"/>
                <w:sz w:val="18"/>
                <w:szCs w:val="18"/>
              </w:rPr>
              <w:t>√</w:t>
            </w:r>
          </w:p>
        </w:tc>
        <w:tc>
          <w:tcPr>
            <w:tcW w:w="720" w:type="dxa"/>
            <w:gridSpan w:val="2"/>
            <w:shd w:val="clear" w:color="auto" w:fill="auto"/>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cantSplit/>
        </w:trPr>
        <w:tc>
          <w:tcPr>
            <w:tcW w:w="540" w:type="dxa"/>
            <w:vMerge w:val="restart"/>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920"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100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教师培训</w:t>
            </w:r>
          </w:p>
        </w:tc>
        <w:tc>
          <w:tcPr>
            <w:tcW w:w="185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教师培训政策文件、培训项目组织实施通知</w:t>
            </w:r>
          </w:p>
        </w:tc>
        <w:tc>
          <w:tcPr>
            <w:tcW w:w="252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《教育法》、《教师法》、《中小学教师继续教育规定》</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909"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841"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7"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43"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13"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cantSplit/>
        </w:trPr>
        <w:tc>
          <w:tcPr>
            <w:tcW w:w="540" w:type="dxa"/>
            <w:vMerge w:val="continue"/>
            <w:vAlign w:val="center"/>
          </w:tcPr>
          <w:p>
            <w:pPr>
              <w:rPr>
                <w:rFonts w:hint="eastAsia" w:ascii="仿宋_GB2312" w:hAnsi="宋体" w:eastAsia="仿宋_GB2312" w:cs="宋体"/>
                <w:color w:val="000000"/>
                <w:sz w:val="18"/>
                <w:szCs w:val="18"/>
              </w:rPr>
            </w:pPr>
          </w:p>
        </w:tc>
        <w:tc>
          <w:tcPr>
            <w:tcW w:w="920" w:type="dxa"/>
            <w:vMerge w:val="continue"/>
            <w:vAlign w:val="center"/>
          </w:tcPr>
          <w:p>
            <w:pPr>
              <w:rPr>
                <w:rFonts w:hint="eastAsia" w:ascii="仿宋_GB2312" w:hAnsi="宋体" w:eastAsia="仿宋_GB2312" w:cs="宋体"/>
                <w:color w:val="000000"/>
                <w:sz w:val="18"/>
                <w:szCs w:val="18"/>
              </w:rPr>
            </w:pPr>
          </w:p>
        </w:tc>
        <w:tc>
          <w:tcPr>
            <w:tcW w:w="1005" w:type="dxa"/>
            <w:vMerge w:val="restart"/>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教师资格认定</w:t>
            </w:r>
          </w:p>
        </w:tc>
        <w:tc>
          <w:tcPr>
            <w:tcW w:w="185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教师资格认定申请材料；参加体检时间、医疗机构名单、体检合格标准；认定结果；咨询方式、监督举报方式、常见问题等</w:t>
            </w:r>
          </w:p>
        </w:tc>
        <w:tc>
          <w:tcPr>
            <w:tcW w:w="2520" w:type="dxa"/>
            <w:vMerge w:val="restart"/>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《教师法》、</w:t>
            </w: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、《教师资格条例》及实施办法、《教育部关于印发〈教师资格证书管理规定〉的通知》</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909"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841"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7"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43"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13"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cantSplit/>
          <w:trHeight w:val="749" w:hRule="atLeast"/>
        </w:trPr>
        <w:tc>
          <w:tcPr>
            <w:tcW w:w="540" w:type="dxa"/>
            <w:vMerge w:val="continue"/>
            <w:vAlign w:val="center"/>
          </w:tcPr>
          <w:p>
            <w:pPr>
              <w:rPr>
                <w:rFonts w:hint="eastAsia" w:ascii="仿宋_GB2312" w:hAnsi="宋体" w:eastAsia="仿宋_GB2312" w:cs="宋体"/>
                <w:color w:val="000000"/>
                <w:sz w:val="18"/>
                <w:szCs w:val="18"/>
              </w:rPr>
            </w:pPr>
          </w:p>
        </w:tc>
        <w:tc>
          <w:tcPr>
            <w:tcW w:w="920" w:type="dxa"/>
            <w:vMerge w:val="continue"/>
            <w:vAlign w:val="center"/>
          </w:tcPr>
          <w:p>
            <w:pPr>
              <w:rPr>
                <w:rFonts w:hint="eastAsia" w:ascii="仿宋_GB2312" w:hAnsi="宋体" w:eastAsia="仿宋_GB2312" w:cs="宋体"/>
                <w:color w:val="000000"/>
                <w:sz w:val="18"/>
                <w:szCs w:val="18"/>
              </w:rPr>
            </w:pPr>
          </w:p>
        </w:tc>
        <w:tc>
          <w:tcPr>
            <w:tcW w:w="1005" w:type="dxa"/>
            <w:vMerge w:val="continue"/>
            <w:vAlign w:val="center"/>
          </w:tcPr>
          <w:p>
            <w:pPr>
              <w:rPr>
                <w:rFonts w:hint="eastAsia" w:ascii="仿宋_GB2312" w:hAnsi="宋体" w:eastAsia="仿宋_GB2312" w:cs="宋体"/>
                <w:color w:val="000000"/>
                <w:sz w:val="18"/>
                <w:szCs w:val="18"/>
              </w:rPr>
            </w:pPr>
          </w:p>
        </w:tc>
        <w:tc>
          <w:tcPr>
            <w:tcW w:w="185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中小学、幼儿园教师资格证书补发、换发政策及流程</w:t>
            </w:r>
          </w:p>
        </w:tc>
        <w:tc>
          <w:tcPr>
            <w:tcW w:w="2520" w:type="dxa"/>
            <w:vMerge w:val="continue"/>
            <w:vAlign w:val="center"/>
          </w:tcPr>
          <w:p>
            <w:pPr>
              <w:rPr>
                <w:rFonts w:hint="eastAsia" w:ascii="仿宋_GB2312" w:hAnsi="宋体" w:eastAsia="仿宋_GB2312" w:cs="宋体"/>
                <w:color w:val="000000"/>
                <w:sz w:val="18"/>
                <w:szCs w:val="18"/>
              </w:rPr>
            </w:pP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909"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841"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7"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43"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13"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cantSplit/>
        </w:trPr>
        <w:tc>
          <w:tcPr>
            <w:tcW w:w="540" w:type="dxa"/>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9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100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教师公开招聘</w:t>
            </w:r>
          </w:p>
        </w:tc>
        <w:tc>
          <w:tcPr>
            <w:tcW w:w="185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教师招聘计划和公告、拟聘用人员名单公示</w:t>
            </w:r>
          </w:p>
        </w:tc>
        <w:tc>
          <w:tcPr>
            <w:tcW w:w="252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、《事业单位公开招聘人员暂行规定》、《关于进一步规范事业单位公开招聘工作的通知》、《人力资源社会保障部关于事业单位公开招聘岗位条件设置有关问题的通知》</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909"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841"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7"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43"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13"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cantSplit/>
        </w:trPr>
        <w:tc>
          <w:tcPr>
            <w:tcW w:w="540" w:type="dxa"/>
            <w:vMerge w:val="restart"/>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920"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1005"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教师</w:t>
            </w:r>
            <w:r>
              <w:rPr>
                <w:rFonts w:hint="eastAsia" w:ascii="仿宋_GB2312" w:hAnsi="宋体" w:eastAsia="仿宋_GB2312" w:cs="宋体"/>
                <w:color w:val="000000"/>
                <w:sz w:val="18"/>
                <w:szCs w:val="18"/>
              </w:rPr>
              <w:br w:type="textWrapping"/>
            </w:r>
            <w:r>
              <w:rPr>
                <w:rFonts w:hint="eastAsia" w:ascii="仿宋_GB2312" w:hAnsi="宋体" w:eastAsia="仿宋_GB2312" w:cs="宋体"/>
                <w:color w:val="000000"/>
                <w:sz w:val="18"/>
                <w:szCs w:val="18"/>
              </w:rPr>
              <w:t>行为</w:t>
            </w:r>
            <w:r>
              <w:rPr>
                <w:rFonts w:hint="eastAsia" w:ascii="仿宋_GB2312" w:hAnsi="宋体" w:eastAsia="仿宋_GB2312" w:cs="宋体"/>
                <w:color w:val="000000"/>
                <w:sz w:val="18"/>
                <w:szCs w:val="18"/>
              </w:rPr>
              <w:br w:type="textWrapping"/>
            </w:r>
            <w:r>
              <w:rPr>
                <w:rFonts w:hint="eastAsia" w:ascii="仿宋_GB2312" w:hAnsi="宋体" w:eastAsia="仿宋_GB2312" w:cs="宋体"/>
                <w:color w:val="000000"/>
                <w:sz w:val="18"/>
                <w:szCs w:val="18"/>
              </w:rPr>
              <w:t>规范</w:t>
            </w:r>
          </w:p>
        </w:tc>
        <w:tc>
          <w:tcPr>
            <w:tcW w:w="185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教师职业行为准则及违规处理办法</w:t>
            </w:r>
          </w:p>
        </w:tc>
        <w:tc>
          <w:tcPr>
            <w:tcW w:w="2520" w:type="dxa"/>
            <w:vMerge w:val="restart"/>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新时代高校教师职业行为十项准则》、《新时代中小学教师职业行为十项准则》、《新时代幼儿园教师职业行为十项准则》、《中小学教师违反职业道德行为处理办法（2018年修订）》、《幼儿园教师违反职业道德行为处理办法》等</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909"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841"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7"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43"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13"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cantSplit/>
        </w:trPr>
        <w:tc>
          <w:tcPr>
            <w:tcW w:w="540" w:type="dxa"/>
            <w:vMerge w:val="continue"/>
            <w:vAlign w:val="center"/>
          </w:tcPr>
          <w:p>
            <w:pPr>
              <w:rPr>
                <w:rFonts w:hint="eastAsia" w:ascii="仿宋_GB2312" w:hAnsi="宋体" w:eastAsia="仿宋_GB2312" w:cs="宋体"/>
                <w:color w:val="000000"/>
                <w:sz w:val="18"/>
                <w:szCs w:val="18"/>
              </w:rPr>
            </w:pPr>
          </w:p>
        </w:tc>
        <w:tc>
          <w:tcPr>
            <w:tcW w:w="920" w:type="dxa"/>
            <w:vMerge w:val="continue"/>
            <w:vAlign w:val="center"/>
          </w:tcPr>
          <w:p>
            <w:pPr>
              <w:rPr>
                <w:rFonts w:hint="eastAsia" w:ascii="仿宋_GB2312" w:hAnsi="宋体" w:eastAsia="仿宋_GB2312" w:cs="宋体"/>
                <w:color w:val="000000"/>
                <w:sz w:val="18"/>
                <w:szCs w:val="18"/>
              </w:rPr>
            </w:pPr>
          </w:p>
        </w:tc>
        <w:tc>
          <w:tcPr>
            <w:tcW w:w="1005" w:type="dxa"/>
            <w:vMerge w:val="continue"/>
            <w:vAlign w:val="center"/>
          </w:tcPr>
          <w:p>
            <w:pPr>
              <w:rPr>
                <w:rFonts w:hint="eastAsia" w:ascii="仿宋_GB2312" w:hAnsi="宋体" w:eastAsia="仿宋_GB2312" w:cs="宋体"/>
                <w:color w:val="000000"/>
                <w:sz w:val="18"/>
                <w:szCs w:val="18"/>
              </w:rPr>
            </w:pPr>
          </w:p>
        </w:tc>
        <w:tc>
          <w:tcPr>
            <w:tcW w:w="185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对教师有严重违反教师职业行为准则的行政处罚信息</w:t>
            </w:r>
          </w:p>
        </w:tc>
        <w:tc>
          <w:tcPr>
            <w:tcW w:w="2520" w:type="dxa"/>
            <w:vMerge w:val="continue"/>
            <w:vAlign w:val="center"/>
          </w:tcPr>
          <w:p>
            <w:pPr>
              <w:rPr>
                <w:rFonts w:hint="eastAsia" w:ascii="仿宋_GB2312" w:hAnsi="宋体" w:eastAsia="仿宋_GB2312" w:cs="宋体"/>
                <w:color w:val="000000"/>
                <w:sz w:val="18"/>
                <w:szCs w:val="18"/>
              </w:rPr>
            </w:pP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909"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841"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7"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43"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13"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cantSplit/>
        </w:trPr>
        <w:tc>
          <w:tcPr>
            <w:tcW w:w="540" w:type="dxa"/>
            <w:vMerge w:val="restart"/>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920"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1005"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教师评优评先</w:t>
            </w:r>
          </w:p>
        </w:tc>
        <w:tc>
          <w:tcPr>
            <w:tcW w:w="185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优秀教师的表彰、奖励等行政奖励信息公示</w:t>
            </w:r>
          </w:p>
        </w:tc>
        <w:tc>
          <w:tcPr>
            <w:tcW w:w="252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《教师法》、《中共中央 国务院关于全面深化新时代教师队伍建设改革的意见》</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909"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841"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7"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43"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13"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cantSplit/>
        </w:trPr>
        <w:tc>
          <w:tcPr>
            <w:tcW w:w="540" w:type="dxa"/>
            <w:vMerge w:val="continue"/>
            <w:vAlign w:val="center"/>
          </w:tcPr>
          <w:p>
            <w:pPr>
              <w:rPr>
                <w:rFonts w:hint="eastAsia" w:ascii="仿宋_GB2312" w:hAnsi="宋体" w:eastAsia="仿宋_GB2312" w:cs="宋体"/>
                <w:color w:val="000000"/>
                <w:sz w:val="18"/>
                <w:szCs w:val="18"/>
              </w:rPr>
            </w:pPr>
          </w:p>
        </w:tc>
        <w:tc>
          <w:tcPr>
            <w:tcW w:w="920" w:type="dxa"/>
            <w:vMerge w:val="continue"/>
            <w:vAlign w:val="center"/>
          </w:tcPr>
          <w:p>
            <w:pPr>
              <w:rPr>
                <w:rFonts w:hint="eastAsia" w:ascii="仿宋_GB2312" w:hAnsi="宋体" w:eastAsia="仿宋_GB2312" w:cs="宋体"/>
                <w:color w:val="000000"/>
                <w:sz w:val="18"/>
                <w:szCs w:val="18"/>
              </w:rPr>
            </w:pPr>
          </w:p>
        </w:tc>
        <w:tc>
          <w:tcPr>
            <w:tcW w:w="1005" w:type="dxa"/>
            <w:vMerge w:val="continue"/>
            <w:vAlign w:val="center"/>
          </w:tcPr>
          <w:p>
            <w:pPr>
              <w:rPr>
                <w:rFonts w:hint="eastAsia" w:ascii="仿宋_GB2312" w:hAnsi="宋体" w:eastAsia="仿宋_GB2312" w:cs="宋体"/>
                <w:color w:val="000000"/>
                <w:sz w:val="18"/>
                <w:szCs w:val="18"/>
              </w:rPr>
            </w:pPr>
          </w:p>
        </w:tc>
        <w:tc>
          <w:tcPr>
            <w:tcW w:w="185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任教30年乡村教师以上教师申请荣誉证书相关政策</w:t>
            </w:r>
          </w:p>
        </w:tc>
        <w:tc>
          <w:tcPr>
            <w:tcW w:w="252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、《关于做好乡村学校从教30年教师荣誉证书颁发工作的通知》</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909"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841"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7"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43"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13"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cantSplit/>
        </w:trPr>
        <w:tc>
          <w:tcPr>
            <w:tcW w:w="540" w:type="dxa"/>
            <w:vMerge w:val="continue"/>
            <w:vAlign w:val="center"/>
          </w:tcPr>
          <w:p>
            <w:pPr>
              <w:rPr>
                <w:rFonts w:hint="eastAsia" w:ascii="仿宋_GB2312" w:hAnsi="宋体" w:eastAsia="仿宋_GB2312" w:cs="宋体"/>
                <w:color w:val="000000"/>
                <w:sz w:val="18"/>
                <w:szCs w:val="18"/>
              </w:rPr>
            </w:pPr>
          </w:p>
        </w:tc>
        <w:tc>
          <w:tcPr>
            <w:tcW w:w="920" w:type="dxa"/>
            <w:vMerge w:val="continue"/>
            <w:vAlign w:val="center"/>
          </w:tcPr>
          <w:p>
            <w:pPr>
              <w:rPr>
                <w:rFonts w:hint="eastAsia" w:ascii="仿宋_GB2312" w:hAnsi="宋体" w:eastAsia="仿宋_GB2312" w:cs="宋体"/>
                <w:color w:val="000000"/>
                <w:sz w:val="18"/>
                <w:szCs w:val="18"/>
              </w:rPr>
            </w:pPr>
          </w:p>
        </w:tc>
        <w:tc>
          <w:tcPr>
            <w:tcW w:w="1005"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教师职称评审</w:t>
            </w:r>
          </w:p>
        </w:tc>
        <w:tc>
          <w:tcPr>
            <w:tcW w:w="185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评审政策、评审通知、学校拟推荐人选名单、评审结果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、最终结果</w:t>
            </w:r>
          </w:p>
        </w:tc>
        <w:tc>
          <w:tcPr>
            <w:tcW w:w="252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、《人力资源社会保障部教育部关于印发深化中小学教师职称制度改革的指导意见的通知》</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信息形成（变更）3个工作日内，公示时间不少于7个工作日</w:t>
            </w:r>
          </w:p>
        </w:tc>
        <w:tc>
          <w:tcPr>
            <w:tcW w:w="1909" w:type="dxa"/>
            <w:shd w:val="clear" w:color="auto" w:fill="auto"/>
            <w:vAlign w:val="center"/>
          </w:tcPr>
          <w:p>
            <w:pPr>
              <w:rPr>
                <w:rFonts w:hint="eastAsia" w:ascii="仿宋_GB2312" w:hAnsi="仿宋" w:eastAsia="仿宋_GB2312" w:cs="宋体"/>
                <w:sz w:val="18"/>
                <w:szCs w:val="18"/>
              </w:rPr>
            </w:pPr>
            <w:r>
              <w:rPr>
                <w:rFonts w:hint="eastAsia" w:ascii="仿宋_GB2312" w:hAnsi="仿宋" w:eastAsia="仿宋_GB2312"/>
                <w:sz w:val="18"/>
                <w:szCs w:val="18"/>
              </w:rPr>
              <w:t>县级、乡级教育部门</w:t>
            </w:r>
          </w:p>
        </w:tc>
        <w:tc>
          <w:tcPr>
            <w:tcW w:w="841"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7"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教师</w:t>
            </w:r>
          </w:p>
        </w:tc>
        <w:tc>
          <w:tcPr>
            <w:tcW w:w="443"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13"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cantSplit/>
        </w:trPr>
        <w:tc>
          <w:tcPr>
            <w:tcW w:w="540" w:type="dxa"/>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92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1005"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特岗教师招聘</w:t>
            </w:r>
          </w:p>
        </w:tc>
        <w:tc>
          <w:tcPr>
            <w:tcW w:w="185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岗位设置管理政策、条件、程序等；特岗教师招聘文件及招聘公告；初审结果；笔试成绩；资格复审结果；参加面试人员、面试成绩；进入考察人员名单；拟聘用人员名单；最终聘用结果</w:t>
            </w:r>
          </w:p>
        </w:tc>
        <w:tc>
          <w:tcPr>
            <w:tcW w:w="252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、《教育部 财政部 人事部 中央编办 关于实施农村义务教育阶段学校教师特设岗位计划的通知》、《教育部 财政部 人力资源社会保障部 中央编办 关于继续组织实施“农村义务教育阶段学校教师特设岗位计划”的通知》等</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信息形成（变更）3个工作日内，公示时间不少于7个工作日</w:t>
            </w:r>
          </w:p>
        </w:tc>
        <w:tc>
          <w:tcPr>
            <w:tcW w:w="1909"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841"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7"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应聘</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人员</w:t>
            </w:r>
          </w:p>
        </w:tc>
        <w:tc>
          <w:tcPr>
            <w:tcW w:w="443"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13"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cantSplit/>
        </w:trPr>
        <w:tc>
          <w:tcPr>
            <w:tcW w:w="540" w:type="dxa"/>
            <w:vMerge w:val="restart"/>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7</w:t>
            </w:r>
          </w:p>
        </w:tc>
        <w:tc>
          <w:tcPr>
            <w:tcW w:w="920"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100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乡村教师生活补助</w:t>
            </w:r>
          </w:p>
        </w:tc>
        <w:tc>
          <w:tcPr>
            <w:tcW w:w="185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管理制度、实施方案、实施时间、补助范围、发放对象、补助档次标准、发放情况</w:t>
            </w:r>
          </w:p>
        </w:tc>
        <w:tc>
          <w:tcPr>
            <w:tcW w:w="252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、《教育部 财政部关于落实2013年中央1号文件要求对在连片特困地区工作的乡村教师给予生活补助的通知》、《教育部关于加强乡村教师生活补助经费管理有关工作的通知》</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信息形成（变更）3个工作日内；教师申领情况进行常年公示</w:t>
            </w:r>
          </w:p>
        </w:tc>
        <w:tc>
          <w:tcPr>
            <w:tcW w:w="1909"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841"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7" w:type="dxa"/>
            <w:shd w:val="clear" w:color="auto" w:fill="auto"/>
            <w:noWrap/>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43"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13"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cantSplit/>
        </w:trPr>
        <w:tc>
          <w:tcPr>
            <w:tcW w:w="540" w:type="dxa"/>
            <w:vMerge w:val="continue"/>
            <w:vAlign w:val="center"/>
          </w:tcPr>
          <w:p>
            <w:pPr>
              <w:rPr>
                <w:rFonts w:hint="eastAsia" w:ascii="仿宋_GB2312" w:hAnsi="宋体" w:eastAsia="仿宋_GB2312" w:cs="宋体"/>
                <w:color w:val="000000"/>
                <w:sz w:val="18"/>
                <w:szCs w:val="18"/>
              </w:rPr>
            </w:pPr>
          </w:p>
        </w:tc>
        <w:tc>
          <w:tcPr>
            <w:tcW w:w="920" w:type="dxa"/>
            <w:vMerge w:val="continue"/>
            <w:vAlign w:val="center"/>
          </w:tcPr>
          <w:p>
            <w:pPr>
              <w:rPr>
                <w:rFonts w:hint="eastAsia" w:ascii="仿宋_GB2312" w:hAnsi="宋体" w:eastAsia="仿宋_GB2312" w:cs="宋体"/>
                <w:color w:val="000000"/>
                <w:sz w:val="18"/>
                <w:szCs w:val="18"/>
              </w:rPr>
            </w:pPr>
          </w:p>
        </w:tc>
        <w:tc>
          <w:tcPr>
            <w:tcW w:w="100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普通话培训及测试</w:t>
            </w:r>
          </w:p>
        </w:tc>
        <w:tc>
          <w:tcPr>
            <w:tcW w:w="185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开展普通话培训、测试的通知；测试结果查询</w:t>
            </w:r>
          </w:p>
        </w:tc>
        <w:tc>
          <w:tcPr>
            <w:tcW w:w="252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、《普通话水平测试管理规定》</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909"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841"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7"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43"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13"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cantSplit/>
          <w:trHeight w:val="2294" w:hRule="atLeast"/>
        </w:trPr>
        <w:tc>
          <w:tcPr>
            <w:tcW w:w="540" w:type="dxa"/>
            <w:vMerge w:val="restart"/>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8</w:t>
            </w:r>
          </w:p>
        </w:tc>
        <w:tc>
          <w:tcPr>
            <w:tcW w:w="920" w:type="dxa"/>
            <w:shd w:val="clear" w:color="auto" w:fill="auto"/>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重要政策执行情况</w:t>
            </w:r>
          </w:p>
        </w:tc>
        <w:tc>
          <w:tcPr>
            <w:tcW w:w="1005"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控辍保学</w:t>
            </w:r>
          </w:p>
        </w:tc>
        <w:tc>
          <w:tcPr>
            <w:tcW w:w="1855"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“一县一策”控辍保学工作方案；年度工作进展情况（含义务教育学生失学、辍学的总体情况，建档立卡家庭贫困学生总体就学情况）；督导检查结果公告；典型经验和有效做法</w:t>
            </w:r>
          </w:p>
        </w:tc>
        <w:tc>
          <w:tcPr>
            <w:tcW w:w="2520"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lang w:eastAsia="zh-CN"/>
              </w:rPr>
              <w:t>政府信息公开条例</w:t>
            </w:r>
            <w:r>
              <w:rPr>
                <w:rFonts w:hint="eastAsia" w:ascii="仿宋_GB2312" w:hAnsi="宋体" w:eastAsia="仿宋_GB2312"/>
                <w:sz w:val="18"/>
                <w:szCs w:val="18"/>
              </w:rPr>
              <w:t>、《国务院办公厅关于进一步加强控辍保学提高义务教育巩固水平的通知</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909" w:type="dxa"/>
            <w:shd w:val="clear" w:color="auto" w:fill="auto"/>
            <w:vAlign w:val="center"/>
          </w:tcPr>
          <w:p>
            <w:pPr>
              <w:rPr>
                <w:rFonts w:hint="eastAsia" w:ascii="仿宋_GB2312" w:hAnsi="仿宋" w:eastAsia="仿宋_GB2312" w:cs="宋体"/>
                <w:sz w:val="18"/>
                <w:szCs w:val="18"/>
              </w:rPr>
            </w:pPr>
            <w:r>
              <w:rPr>
                <w:rFonts w:hint="eastAsia" w:ascii="仿宋_GB2312" w:hAnsi="仿宋" w:eastAsia="仿宋_GB2312"/>
                <w:sz w:val="18"/>
                <w:szCs w:val="18"/>
              </w:rPr>
              <w:t>县（市、区）教育部门</w:t>
            </w:r>
          </w:p>
        </w:tc>
        <w:tc>
          <w:tcPr>
            <w:tcW w:w="841"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7" w:type="dxa"/>
            <w:shd w:val="clear" w:color="auto" w:fill="auto"/>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43"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13" w:type="dxa"/>
            <w:shd w:val="clear" w:color="auto" w:fill="auto"/>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cantSplit/>
        </w:trPr>
        <w:tc>
          <w:tcPr>
            <w:tcW w:w="540" w:type="dxa"/>
            <w:vMerge w:val="continue"/>
            <w:shd w:val="clear" w:color="auto" w:fill="auto"/>
            <w:vAlign w:val="center"/>
          </w:tcPr>
          <w:p>
            <w:pPr>
              <w:jc w:val="center"/>
              <w:rPr>
                <w:rFonts w:hint="eastAsia" w:ascii="仿宋_GB2312" w:hAnsi="宋体" w:eastAsia="仿宋_GB2312" w:cs="宋体"/>
                <w:color w:val="000000"/>
                <w:sz w:val="18"/>
                <w:szCs w:val="18"/>
              </w:rPr>
            </w:pPr>
          </w:p>
        </w:tc>
        <w:tc>
          <w:tcPr>
            <w:tcW w:w="920"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重要政策执行情况</w:t>
            </w:r>
          </w:p>
        </w:tc>
        <w:tc>
          <w:tcPr>
            <w:tcW w:w="1005" w:type="dxa"/>
            <w:vMerge w:val="restart"/>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农村义务教育学生营养改善计划</w:t>
            </w:r>
          </w:p>
        </w:tc>
        <w:tc>
          <w:tcPr>
            <w:tcW w:w="1855"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有关政策法规、规章、规范性文件；组织机构和职责，举报电话、信箱或电子邮箱</w:t>
            </w:r>
            <w:r>
              <w:rPr>
                <w:rFonts w:hint="eastAsia" w:ascii="仿宋_GB2312" w:hAnsi="宋体" w:eastAsia="仿宋_GB2312"/>
                <w:sz w:val="18"/>
                <w:szCs w:val="18"/>
              </w:rPr>
              <w:br w:type="textWrapping"/>
            </w:r>
            <w:r>
              <w:rPr>
                <w:rFonts w:hint="eastAsia" w:ascii="仿宋_GB2312" w:hAnsi="宋体" w:eastAsia="仿宋_GB2312"/>
                <w:sz w:val="18"/>
                <w:szCs w:val="18"/>
              </w:rPr>
              <w:t>；供餐企业、托餐家庭名单</w:t>
            </w:r>
          </w:p>
        </w:tc>
        <w:tc>
          <w:tcPr>
            <w:tcW w:w="2520"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《国务院办公厅关于实施农村义务教育学生营养改善计划的意见》《教育部等十五部门关于印发〈农村义务教育学生营养改善计划实施细则〉等五个配套文件的通知》</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909" w:type="dxa"/>
            <w:shd w:val="clear" w:color="auto" w:fill="auto"/>
            <w:vAlign w:val="center"/>
          </w:tcPr>
          <w:p>
            <w:pPr>
              <w:rPr>
                <w:rFonts w:hint="eastAsia" w:ascii="仿宋_GB2312" w:hAnsi="仿宋" w:eastAsia="仿宋_GB2312" w:cs="宋体"/>
                <w:sz w:val="18"/>
                <w:szCs w:val="18"/>
              </w:rPr>
            </w:pPr>
            <w:r>
              <w:rPr>
                <w:rFonts w:hint="eastAsia" w:ascii="仿宋_GB2312" w:hAnsi="仿宋" w:eastAsia="仿宋_GB2312"/>
                <w:sz w:val="18"/>
                <w:szCs w:val="18"/>
              </w:rPr>
              <w:t>县（市、区）教育部门</w:t>
            </w:r>
          </w:p>
        </w:tc>
        <w:tc>
          <w:tcPr>
            <w:tcW w:w="841"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7"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43"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13"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cantSplit/>
        </w:trPr>
        <w:tc>
          <w:tcPr>
            <w:tcW w:w="540" w:type="dxa"/>
            <w:vMerge w:val="continue"/>
            <w:vAlign w:val="center"/>
          </w:tcPr>
          <w:p>
            <w:pPr>
              <w:rPr>
                <w:rFonts w:hint="eastAsia" w:ascii="仿宋_GB2312" w:hAnsi="宋体" w:eastAsia="仿宋_GB2312" w:cs="宋体"/>
                <w:color w:val="000000"/>
                <w:sz w:val="18"/>
                <w:szCs w:val="18"/>
              </w:rPr>
            </w:pPr>
          </w:p>
        </w:tc>
        <w:tc>
          <w:tcPr>
            <w:tcW w:w="920" w:type="dxa"/>
            <w:vMerge w:val="continue"/>
            <w:vAlign w:val="center"/>
          </w:tcPr>
          <w:p>
            <w:pPr>
              <w:rPr>
                <w:rFonts w:hint="eastAsia" w:ascii="仿宋_GB2312" w:hAnsi="宋体" w:eastAsia="仿宋_GB2312" w:cs="宋体"/>
                <w:color w:val="000000"/>
                <w:sz w:val="18"/>
                <w:szCs w:val="18"/>
              </w:rPr>
            </w:pPr>
          </w:p>
        </w:tc>
        <w:tc>
          <w:tcPr>
            <w:tcW w:w="1005" w:type="dxa"/>
            <w:vMerge w:val="continue"/>
            <w:vAlign w:val="center"/>
          </w:tcPr>
          <w:p>
            <w:pPr>
              <w:rPr>
                <w:rFonts w:hint="eastAsia" w:ascii="仿宋_GB2312" w:hAnsi="宋体" w:eastAsia="仿宋_GB2312" w:cs="宋体"/>
                <w:color w:val="000000"/>
                <w:sz w:val="18"/>
                <w:szCs w:val="18"/>
              </w:rPr>
            </w:pPr>
          </w:p>
        </w:tc>
        <w:tc>
          <w:tcPr>
            <w:tcW w:w="1855"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学校食堂饭菜价格、带量食谱；学校膳食委员会名单；学校管理人员陪餐情况；食品安全突发事件应急预案</w:t>
            </w:r>
          </w:p>
        </w:tc>
        <w:tc>
          <w:tcPr>
            <w:tcW w:w="2520" w:type="dxa"/>
            <w:vMerge w:val="continue"/>
            <w:vAlign w:val="center"/>
          </w:tcPr>
          <w:p>
            <w:pPr>
              <w:rPr>
                <w:rFonts w:hint="eastAsia" w:ascii="仿宋_GB2312" w:hAnsi="宋体" w:eastAsia="仿宋_GB2312" w:cs="宋体"/>
                <w:color w:val="000000"/>
                <w:sz w:val="18"/>
                <w:szCs w:val="18"/>
              </w:rPr>
            </w:pP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909" w:type="dxa"/>
            <w:shd w:val="clear" w:color="auto" w:fill="auto"/>
            <w:vAlign w:val="center"/>
          </w:tcPr>
          <w:p>
            <w:pPr>
              <w:rPr>
                <w:rFonts w:hint="eastAsia" w:ascii="仿宋_GB2312" w:hAnsi="仿宋" w:eastAsia="仿宋_GB2312" w:cs="宋体"/>
                <w:sz w:val="18"/>
                <w:szCs w:val="18"/>
              </w:rPr>
            </w:pPr>
            <w:r>
              <w:rPr>
                <w:rFonts w:hint="eastAsia" w:ascii="仿宋_GB2312" w:hAnsi="仿宋" w:eastAsia="仿宋_GB2312"/>
                <w:sz w:val="18"/>
                <w:szCs w:val="18"/>
              </w:rPr>
              <w:t>实施营养改善计划的试点学校</w:t>
            </w:r>
          </w:p>
        </w:tc>
        <w:tc>
          <w:tcPr>
            <w:tcW w:w="841"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7"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43"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13"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cantSplit/>
        </w:trPr>
        <w:tc>
          <w:tcPr>
            <w:tcW w:w="540" w:type="dxa"/>
            <w:vMerge w:val="continue"/>
            <w:vAlign w:val="center"/>
          </w:tcPr>
          <w:p>
            <w:pPr>
              <w:rPr>
                <w:rFonts w:hint="eastAsia" w:ascii="仿宋_GB2312" w:hAnsi="宋体" w:eastAsia="仿宋_GB2312" w:cs="宋体"/>
                <w:color w:val="000000"/>
                <w:sz w:val="18"/>
                <w:szCs w:val="18"/>
              </w:rPr>
            </w:pPr>
          </w:p>
        </w:tc>
        <w:tc>
          <w:tcPr>
            <w:tcW w:w="920" w:type="dxa"/>
            <w:vMerge w:val="continue"/>
            <w:vAlign w:val="center"/>
          </w:tcPr>
          <w:p>
            <w:pPr>
              <w:rPr>
                <w:rFonts w:hint="eastAsia" w:ascii="仿宋_GB2312" w:hAnsi="宋体" w:eastAsia="仿宋_GB2312" w:cs="宋体"/>
                <w:color w:val="000000"/>
                <w:sz w:val="18"/>
                <w:szCs w:val="18"/>
              </w:rPr>
            </w:pPr>
          </w:p>
        </w:tc>
        <w:tc>
          <w:tcPr>
            <w:tcW w:w="1005" w:type="dxa"/>
            <w:vMerge w:val="continue"/>
            <w:vAlign w:val="center"/>
          </w:tcPr>
          <w:p>
            <w:pPr>
              <w:rPr>
                <w:rFonts w:hint="eastAsia" w:ascii="仿宋_GB2312" w:hAnsi="宋体" w:eastAsia="仿宋_GB2312" w:cs="宋体"/>
                <w:color w:val="000000"/>
                <w:sz w:val="18"/>
                <w:szCs w:val="18"/>
              </w:rPr>
            </w:pPr>
          </w:p>
        </w:tc>
        <w:tc>
          <w:tcPr>
            <w:tcW w:w="185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供餐企业（单位）配套管理制度，食品安全责任人、供餐方签约人；食品安全突发事件应急预案</w:t>
            </w:r>
          </w:p>
        </w:tc>
        <w:tc>
          <w:tcPr>
            <w:tcW w:w="2520" w:type="dxa"/>
            <w:vMerge w:val="continue"/>
            <w:vAlign w:val="center"/>
          </w:tcPr>
          <w:p>
            <w:pPr>
              <w:rPr>
                <w:rFonts w:hint="eastAsia" w:ascii="仿宋_GB2312" w:hAnsi="宋体" w:eastAsia="仿宋_GB2312" w:cs="宋体"/>
                <w:color w:val="000000"/>
                <w:sz w:val="18"/>
                <w:szCs w:val="18"/>
              </w:rPr>
            </w:pP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909"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实施营养改善计划的供餐企业（单位）</w:t>
            </w:r>
          </w:p>
        </w:tc>
        <w:tc>
          <w:tcPr>
            <w:tcW w:w="841"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7"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43"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13"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cantSplit/>
        </w:trPr>
        <w:tc>
          <w:tcPr>
            <w:tcW w:w="540" w:type="dxa"/>
            <w:vMerge w:val="restart"/>
            <w:shd w:val="clear" w:color="auto" w:fill="auto"/>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8</w:t>
            </w:r>
          </w:p>
        </w:tc>
        <w:tc>
          <w:tcPr>
            <w:tcW w:w="920" w:type="dxa"/>
            <w:vMerge w:val="restart"/>
            <w:shd w:val="clear" w:color="auto" w:fill="auto"/>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重要政策执行情况</w:t>
            </w:r>
          </w:p>
        </w:tc>
        <w:tc>
          <w:tcPr>
            <w:tcW w:w="1005"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学校体育评价</w:t>
            </w:r>
          </w:p>
        </w:tc>
        <w:tc>
          <w:tcPr>
            <w:tcW w:w="185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体育工作自评结果（体育课、体育训练、体育比赛、体育教师、体育场地、条件保障等）；学校体育发展年度报告（重点反映体育教学改革、体育教师配备、体育经费投入和体育场地设施、学生体质健康测试等方面的情况）</w:t>
            </w:r>
          </w:p>
        </w:tc>
        <w:tc>
          <w:tcPr>
            <w:tcW w:w="252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、教育部关于印发《学生体质健康监测评价办法》等三个文件的通知</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909" w:type="dxa"/>
            <w:shd w:val="clear" w:color="auto" w:fill="auto"/>
            <w:vAlign w:val="center"/>
          </w:tcPr>
          <w:p>
            <w:pPr>
              <w:rPr>
                <w:rFonts w:hint="eastAsia" w:ascii="仿宋_GB2312" w:hAnsi="仿宋" w:eastAsia="仿宋_GB2312" w:cs="宋体"/>
                <w:sz w:val="18"/>
                <w:szCs w:val="18"/>
              </w:rPr>
            </w:pPr>
            <w:r>
              <w:rPr>
                <w:rFonts w:hint="eastAsia" w:ascii="仿宋_GB2312" w:hAnsi="仿宋" w:eastAsia="仿宋_GB2312"/>
                <w:sz w:val="18"/>
                <w:szCs w:val="18"/>
              </w:rPr>
              <w:t>县（市、区）教育部门</w:t>
            </w:r>
          </w:p>
        </w:tc>
        <w:tc>
          <w:tcPr>
            <w:tcW w:w="841"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7"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43"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13"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cantSplit/>
        </w:trPr>
        <w:tc>
          <w:tcPr>
            <w:tcW w:w="540" w:type="dxa"/>
            <w:vMerge w:val="continue"/>
            <w:vAlign w:val="center"/>
          </w:tcPr>
          <w:p>
            <w:pPr>
              <w:rPr>
                <w:rFonts w:hint="eastAsia" w:ascii="仿宋_GB2312" w:hAnsi="宋体" w:eastAsia="仿宋_GB2312" w:cs="宋体"/>
                <w:sz w:val="18"/>
                <w:szCs w:val="18"/>
              </w:rPr>
            </w:pPr>
          </w:p>
        </w:tc>
        <w:tc>
          <w:tcPr>
            <w:tcW w:w="920" w:type="dxa"/>
            <w:vMerge w:val="continue"/>
            <w:vAlign w:val="center"/>
          </w:tcPr>
          <w:p>
            <w:pPr>
              <w:rPr>
                <w:rFonts w:hint="eastAsia" w:ascii="仿宋_GB2312" w:hAnsi="宋体" w:eastAsia="仿宋_GB2312" w:cs="宋体"/>
                <w:sz w:val="18"/>
                <w:szCs w:val="18"/>
              </w:rPr>
            </w:pPr>
          </w:p>
        </w:tc>
        <w:tc>
          <w:tcPr>
            <w:tcW w:w="1005"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学校美育评价</w:t>
            </w:r>
          </w:p>
        </w:tc>
        <w:tc>
          <w:tcPr>
            <w:tcW w:w="185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艺术教育工作自评结果（艺术课程、艺术活动、艺术教师、条件保障、特色发展及学生艺术素质测评等）；学校艺术教育发展年度报告（重点反映艺术课程建设、艺术教师配备、艺术教育管理、艺术教育经费投入和设施设备、课外艺术活动、校园文化艺术环境、重点项目推进以及中小学实施学校艺术教育工作自评制度等方面的情况）</w:t>
            </w:r>
          </w:p>
        </w:tc>
        <w:tc>
          <w:tcPr>
            <w:tcW w:w="252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、教育部关于印发《中小学生艺术素质测评办法》等三个文件的通知</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909" w:type="dxa"/>
            <w:shd w:val="clear" w:color="auto" w:fill="auto"/>
            <w:vAlign w:val="center"/>
          </w:tcPr>
          <w:p>
            <w:pPr>
              <w:rPr>
                <w:rFonts w:hint="eastAsia" w:ascii="仿宋_GB2312" w:hAnsi="仿宋" w:eastAsia="仿宋_GB2312" w:cs="宋体"/>
                <w:sz w:val="18"/>
                <w:szCs w:val="18"/>
              </w:rPr>
            </w:pPr>
            <w:r>
              <w:rPr>
                <w:rFonts w:hint="eastAsia" w:ascii="仿宋_GB2312" w:hAnsi="仿宋" w:eastAsia="仿宋_GB2312"/>
                <w:sz w:val="18"/>
                <w:szCs w:val="18"/>
              </w:rPr>
              <w:t>县（市、区）教育部门</w:t>
            </w:r>
          </w:p>
        </w:tc>
        <w:tc>
          <w:tcPr>
            <w:tcW w:w="841"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7"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43"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13"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cantSplit/>
          <w:trHeight w:val="1707" w:hRule="atLeast"/>
        </w:trPr>
        <w:tc>
          <w:tcPr>
            <w:tcW w:w="540" w:type="dxa"/>
            <w:vMerge w:val="restart"/>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9</w:t>
            </w:r>
          </w:p>
        </w:tc>
        <w:tc>
          <w:tcPr>
            <w:tcW w:w="920"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xml:space="preserve">    教育督导</w:t>
            </w:r>
          </w:p>
        </w:tc>
        <w:tc>
          <w:tcPr>
            <w:tcW w:w="100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机构队伍</w:t>
            </w:r>
          </w:p>
        </w:tc>
        <w:tc>
          <w:tcPr>
            <w:tcW w:w="185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督导部门组成、督学名单、</w:t>
            </w:r>
          </w:p>
        </w:tc>
        <w:tc>
          <w:tcPr>
            <w:tcW w:w="2520" w:type="dxa"/>
            <w:vMerge w:val="restart"/>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《教育督导条例》、《县域义务教育均衡发展督导评估暂行办法》、《县域义务教育优质均衡发展督导评估办法》</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909"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841"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7"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43"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13"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cantSplit/>
        </w:trPr>
        <w:tc>
          <w:tcPr>
            <w:tcW w:w="540" w:type="dxa"/>
            <w:vMerge w:val="continue"/>
            <w:vAlign w:val="center"/>
          </w:tcPr>
          <w:p>
            <w:pPr>
              <w:rPr>
                <w:rFonts w:hint="eastAsia" w:ascii="仿宋_GB2312" w:hAnsi="宋体" w:eastAsia="仿宋_GB2312" w:cs="宋体"/>
                <w:color w:val="000000"/>
                <w:sz w:val="18"/>
                <w:szCs w:val="18"/>
              </w:rPr>
            </w:pPr>
          </w:p>
        </w:tc>
        <w:tc>
          <w:tcPr>
            <w:tcW w:w="920" w:type="dxa"/>
            <w:vMerge w:val="continue"/>
            <w:vAlign w:val="center"/>
          </w:tcPr>
          <w:p>
            <w:pPr>
              <w:rPr>
                <w:rFonts w:hint="eastAsia" w:ascii="仿宋_GB2312" w:hAnsi="宋体" w:eastAsia="仿宋_GB2312" w:cs="宋体"/>
                <w:color w:val="000000"/>
                <w:sz w:val="18"/>
                <w:szCs w:val="18"/>
              </w:rPr>
            </w:pPr>
          </w:p>
        </w:tc>
        <w:tc>
          <w:tcPr>
            <w:tcW w:w="1005"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学校督导评估</w:t>
            </w:r>
          </w:p>
        </w:tc>
        <w:tc>
          <w:tcPr>
            <w:tcW w:w="185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年度督导工作计划内容、责任区划分和责任督学名单、责任督学日常督导事项，学校督导评估的办法、指标体系、督导评估报告</w:t>
            </w:r>
          </w:p>
        </w:tc>
        <w:tc>
          <w:tcPr>
            <w:tcW w:w="2520" w:type="dxa"/>
            <w:vMerge w:val="continue"/>
            <w:vAlign w:val="center"/>
          </w:tcPr>
          <w:p>
            <w:pPr>
              <w:rPr>
                <w:rFonts w:hint="eastAsia" w:ascii="仿宋_GB2312" w:hAnsi="宋体" w:eastAsia="仿宋_GB2312" w:cs="宋体"/>
                <w:color w:val="000000"/>
                <w:sz w:val="18"/>
                <w:szCs w:val="18"/>
              </w:rPr>
            </w:pP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909"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841"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7"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43"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13"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cantSplit/>
        </w:trPr>
        <w:tc>
          <w:tcPr>
            <w:tcW w:w="540" w:type="dxa"/>
            <w:vMerge w:val="continue"/>
            <w:vAlign w:val="center"/>
          </w:tcPr>
          <w:p>
            <w:pPr>
              <w:rPr>
                <w:rFonts w:hint="eastAsia" w:ascii="仿宋_GB2312" w:hAnsi="宋体" w:eastAsia="仿宋_GB2312" w:cs="宋体"/>
                <w:color w:val="000000"/>
                <w:sz w:val="18"/>
                <w:szCs w:val="18"/>
              </w:rPr>
            </w:pPr>
          </w:p>
        </w:tc>
        <w:tc>
          <w:tcPr>
            <w:tcW w:w="920" w:type="dxa"/>
            <w:vMerge w:val="continue"/>
            <w:vAlign w:val="center"/>
          </w:tcPr>
          <w:p>
            <w:pPr>
              <w:rPr>
                <w:rFonts w:hint="eastAsia" w:ascii="仿宋_GB2312" w:hAnsi="宋体" w:eastAsia="仿宋_GB2312" w:cs="宋体"/>
                <w:color w:val="000000"/>
                <w:sz w:val="18"/>
                <w:szCs w:val="18"/>
              </w:rPr>
            </w:pPr>
          </w:p>
        </w:tc>
        <w:tc>
          <w:tcPr>
            <w:tcW w:w="1005"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义务教育均衡发展督导评估</w:t>
            </w:r>
          </w:p>
        </w:tc>
        <w:tc>
          <w:tcPr>
            <w:tcW w:w="185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义务教育均衡发展有关政策文件、职责权限、管理流程、监督方式、年度工作计划等，义务教育均衡发展状况自评方案及结果，省级教育督导机构对县进行督导评估的工作安排、评估结果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国务院教育督导委员会对义务教育发展均衡县进行认定的结果、报告</w:t>
            </w:r>
          </w:p>
        </w:tc>
        <w:tc>
          <w:tcPr>
            <w:tcW w:w="2520" w:type="dxa"/>
            <w:vMerge w:val="continue"/>
            <w:vAlign w:val="center"/>
          </w:tcPr>
          <w:p>
            <w:pPr>
              <w:rPr>
                <w:rFonts w:hint="eastAsia" w:ascii="仿宋_GB2312" w:hAnsi="宋体" w:eastAsia="仿宋_GB2312" w:cs="宋体"/>
                <w:color w:val="000000"/>
                <w:sz w:val="18"/>
                <w:szCs w:val="18"/>
              </w:rPr>
            </w:pP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909"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841"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7"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43"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13"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cantSplit/>
        </w:trPr>
        <w:tc>
          <w:tcPr>
            <w:tcW w:w="540" w:type="dxa"/>
            <w:shd w:val="clear" w:color="auto" w:fill="auto"/>
            <w:noWrap/>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10</w:t>
            </w:r>
          </w:p>
        </w:tc>
        <w:tc>
          <w:tcPr>
            <w:tcW w:w="9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校园安全</w:t>
            </w:r>
          </w:p>
        </w:tc>
        <w:tc>
          <w:tcPr>
            <w:tcW w:w="1005"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校园安全管理</w:t>
            </w:r>
          </w:p>
        </w:tc>
        <w:tc>
          <w:tcPr>
            <w:tcW w:w="1855"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校园安全管理法律法规、配套管理制度，学生住宿、用餐、组织活动等安全管理情况，校园安全突发事件应急预案、预警信息、应对情况、调查处理情况，校车使用许可申请政策规定及申请流程</w:t>
            </w:r>
          </w:p>
        </w:tc>
        <w:tc>
          <w:tcPr>
            <w:tcW w:w="2520" w:type="dxa"/>
            <w:shd w:val="clear" w:color="auto" w:fill="auto"/>
            <w:vAlign w:val="center"/>
          </w:tcPr>
          <w:p>
            <w:pPr>
              <w:rPr>
                <w:rFonts w:hint="eastAsia" w:ascii="仿宋_GB2312" w:hAnsi="宋体" w:eastAsia="仿宋_GB2312" w:cs="宋体"/>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、《国务院办公厅关于加强中小学幼儿园安全风险防控体系建设的意见》、《教育部关于推进中小学信息公开工作的意见》、《校车安全管理条例》</w:t>
            </w:r>
          </w:p>
        </w:tc>
        <w:tc>
          <w:tcPr>
            <w:tcW w:w="1620"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909"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县（市、区）教育部门</w:t>
            </w:r>
          </w:p>
        </w:tc>
        <w:tc>
          <w:tcPr>
            <w:tcW w:w="841"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7" w:type="dxa"/>
            <w:shd w:val="clear" w:color="auto" w:fill="auto"/>
            <w:vAlign w:val="center"/>
          </w:tcPr>
          <w:p>
            <w:pP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43" w:type="dxa"/>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13" w:type="dxa"/>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shd w:val="clear" w:color="auto" w:fill="auto"/>
            <w:noWrap/>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vAlign w:val="center"/>
          </w:tcPr>
          <w:p>
            <w:pPr>
              <w:jc w:val="center"/>
              <w:rPr>
                <w:rFonts w:hint="eastAsia" w:ascii="仿宋_GB2312" w:hAnsi="仿宋" w:eastAsia="仿宋_GB2312" w:cs="宋体"/>
                <w:color w:val="000000"/>
                <w:sz w:val="18"/>
                <w:szCs w:val="18"/>
              </w:rPr>
            </w:pPr>
            <w:r>
              <w:rPr>
                <w:rFonts w:hint="eastAsia" w:ascii="仿宋_GB2312" w:hAnsi="仿宋" w:eastAsia="仿宋_GB2312"/>
                <w:color w:val="000000"/>
                <w:sz w:val="18"/>
                <w:szCs w:val="18"/>
              </w:rPr>
              <w:t>　</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93"/>
    <w:rsid w:val="001E6D63"/>
    <w:rsid w:val="002967AA"/>
    <w:rsid w:val="002E0878"/>
    <w:rsid w:val="00416393"/>
    <w:rsid w:val="36815DA6"/>
    <w:rsid w:val="6BD879B7"/>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3">
    <w:name w:val="annotation text"/>
    <w:basedOn w:val="1"/>
    <w:link w:val="17"/>
    <w:semiHidden/>
    <w:uiPriority w:val="0"/>
    <w:pPr>
      <w:jc w:val="left"/>
    </w:pPr>
  </w:style>
  <w:style w:type="paragraph" w:styleId="4">
    <w:name w:val="Balloon Text"/>
    <w:basedOn w:val="1"/>
    <w:link w:val="19"/>
    <w:semiHidden/>
    <w:qFormat/>
    <w:uiPriority w:val="0"/>
    <w:rPr>
      <w:sz w:val="18"/>
      <w:szCs w:val="18"/>
    </w:rPr>
  </w:style>
  <w:style w:type="paragraph" w:styleId="5">
    <w:name w:val="footer"/>
    <w:basedOn w:val="1"/>
    <w:link w:val="22"/>
    <w:uiPriority w:val="0"/>
    <w:pPr>
      <w:tabs>
        <w:tab w:val="center" w:pos="4153"/>
        <w:tab w:val="right" w:pos="8306"/>
      </w:tabs>
      <w:snapToGrid w:val="0"/>
      <w:jc w:val="left"/>
    </w:pPr>
    <w:rPr>
      <w:sz w:val="18"/>
      <w:szCs w:val="18"/>
    </w:rPr>
  </w:style>
  <w:style w:type="paragraph" w:styleId="6">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uiPriority w:val="0"/>
    <w:pPr>
      <w:tabs>
        <w:tab w:val="right" w:leader="dot" w:pos="14760"/>
      </w:tabs>
      <w:spacing w:line="700" w:lineRule="exact"/>
      <w:ind w:left="359" w:leftChars="171" w:right="332" w:rightChars="158"/>
    </w:pPr>
  </w:style>
  <w:style w:type="paragraph" w:styleId="8">
    <w:name w:val="annotation subject"/>
    <w:basedOn w:val="3"/>
    <w:next w:val="3"/>
    <w:link w:val="18"/>
    <w:semiHidden/>
    <w:uiPriority w:val="0"/>
    <w:rPr>
      <w:b/>
      <w:bCs/>
    </w:rPr>
  </w:style>
  <w:style w:type="table" w:styleId="10">
    <w:name w:val="Table Grid"/>
    <w:basedOn w:val="9"/>
    <w:qFormat/>
    <w:uiPriority w:val="0"/>
    <w:rPr>
      <w:rFonts w:ascii="Calibri" w:hAnsi="Calibri" w:eastAsia="宋体" w:cs="Times New Roman"/>
      <w:kern w:val="0"/>
      <w:sz w:val="20"/>
      <w:szCs w:val="20"/>
      <w:lang w:bidi="mn-Mong-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12">
    <w:name w:val="page number"/>
    <w:basedOn w:val="11"/>
    <w:qFormat/>
    <w:uiPriority w:val="0"/>
  </w:style>
  <w:style w:type="character" w:styleId="13">
    <w:name w:val="Hyperlink"/>
    <w:qFormat/>
    <w:uiPriority w:val="0"/>
    <w:rPr>
      <w:color w:val="0000FF"/>
      <w:u w:val="single"/>
    </w:rPr>
  </w:style>
  <w:style w:type="character" w:styleId="14">
    <w:name w:val="annotation reference"/>
    <w:semiHidden/>
    <w:qFormat/>
    <w:uiPriority w:val="0"/>
    <w:rPr>
      <w:sz w:val="21"/>
      <w:szCs w:val="21"/>
    </w:rPr>
  </w:style>
  <w:style w:type="character" w:customStyle="1" w:styleId="15">
    <w:name w:val="标题 1 字符"/>
    <w:basedOn w:val="11"/>
    <w:link w:val="2"/>
    <w:qFormat/>
    <w:uiPriority w:val="0"/>
    <w:rPr>
      <w:rFonts w:ascii="Calibri" w:hAnsi="Calibri" w:eastAsia="宋体" w:cs="Times New Roman"/>
      <w:b/>
      <w:bCs/>
      <w:kern w:val="44"/>
      <w:sz w:val="44"/>
      <w:szCs w:val="44"/>
    </w:rPr>
  </w:style>
  <w:style w:type="paragraph" w:customStyle="1" w:styleId="16">
    <w:name w:val="列出段落"/>
    <w:basedOn w:val="1"/>
    <w:qFormat/>
    <w:uiPriority w:val="0"/>
    <w:pPr>
      <w:ind w:firstLine="420" w:firstLineChars="200"/>
    </w:pPr>
    <w:rPr>
      <w:rFonts w:ascii="等线" w:hAnsi="等线" w:eastAsia="等线"/>
    </w:rPr>
  </w:style>
  <w:style w:type="character" w:customStyle="1" w:styleId="17">
    <w:name w:val="批注文字 字符"/>
    <w:basedOn w:val="11"/>
    <w:link w:val="3"/>
    <w:semiHidden/>
    <w:qFormat/>
    <w:uiPriority w:val="0"/>
    <w:rPr>
      <w:rFonts w:ascii="Calibri" w:hAnsi="Calibri" w:eastAsia="宋体" w:cs="Times New Roman"/>
    </w:rPr>
  </w:style>
  <w:style w:type="character" w:customStyle="1" w:styleId="18">
    <w:name w:val="批注主题 字符"/>
    <w:basedOn w:val="17"/>
    <w:link w:val="8"/>
    <w:semiHidden/>
    <w:uiPriority w:val="0"/>
    <w:rPr>
      <w:rFonts w:ascii="Calibri" w:hAnsi="Calibri" w:eastAsia="宋体" w:cs="Times New Roman"/>
      <w:b/>
      <w:bCs/>
    </w:rPr>
  </w:style>
  <w:style w:type="character" w:customStyle="1" w:styleId="19">
    <w:name w:val="批注框文本 字符"/>
    <w:basedOn w:val="11"/>
    <w:link w:val="4"/>
    <w:semiHidden/>
    <w:uiPriority w:val="0"/>
    <w:rPr>
      <w:rFonts w:ascii="Calibri" w:hAnsi="Calibri" w:eastAsia="宋体" w:cs="Times New Roman"/>
      <w:sz w:val="18"/>
      <w:szCs w:val="18"/>
    </w:rPr>
  </w:style>
  <w:style w:type="paragraph" w:customStyle="1" w:styleId="20">
    <w:name w:val="列出段落1"/>
    <w:basedOn w:val="1"/>
    <w:uiPriority w:val="0"/>
    <w:pPr>
      <w:ind w:firstLine="420" w:firstLineChars="200"/>
    </w:pPr>
  </w:style>
  <w:style w:type="character" w:customStyle="1" w:styleId="21">
    <w:name w:val="页眉 字符"/>
    <w:basedOn w:val="11"/>
    <w:link w:val="6"/>
    <w:qFormat/>
    <w:uiPriority w:val="0"/>
    <w:rPr>
      <w:rFonts w:ascii="Calibri" w:hAnsi="Calibri" w:eastAsia="宋体" w:cs="Times New Roman"/>
      <w:sz w:val="18"/>
      <w:szCs w:val="18"/>
    </w:rPr>
  </w:style>
  <w:style w:type="character" w:customStyle="1" w:styleId="22">
    <w:name w:val="页脚 字符"/>
    <w:basedOn w:val="11"/>
    <w:link w:val="5"/>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979</Words>
  <Characters>5581</Characters>
  <Lines>46</Lines>
  <Paragraphs>13</Paragraphs>
  <TotalTime>1</TotalTime>
  <ScaleCrop>false</ScaleCrop>
  <LinksUpToDate>false</LinksUpToDate>
  <CharactersWithSpaces>6547</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2020-03-06T04:05:00Z</dcterms:created>
  <dc:creator>tai yuzhu</dc:creator>
  <cp:lastModifiedBy>吞云鲸</cp:lastModifiedBy>
  <cp:lastPrinted>2020-10-15T08:05:00Z</cp:lastPrinted>
  <dcterms:modified xsi:type="dcterms:W3CDTF">2025-03-31T09:15:15Z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