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C58" w:rsidRDefault="00420399">
      <w:pPr>
        <w:tabs>
          <w:tab w:val="left" w:pos="3617"/>
        </w:tabs>
        <w:spacing w:before="190" w:line="173" w:lineRule="auto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包头市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昆都仑区</w:t>
      </w:r>
      <w:r>
        <w:rPr>
          <w:rFonts w:ascii="方正小标宋简体" w:eastAsia="方正小标宋简体" w:hAnsi="方正小标宋简体" w:cs="方正小标宋简体" w:hint="eastAsia"/>
          <w:spacing w:val="-2"/>
          <w:sz w:val="44"/>
          <w:szCs w:val="44"/>
        </w:rPr>
        <w:t>市场监督管理局</w:t>
      </w:r>
    </w:p>
    <w:p w:rsidR="00505C58" w:rsidRDefault="00420399">
      <w:pPr>
        <w:spacing w:before="1" w:line="204" w:lineRule="auto"/>
        <w:jc w:val="center"/>
      </w:pPr>
      <w:r>
        <w:rPr>
          <w:rFonts w:ascii="方正小标宋简体" w:eastAsia="方正小标宋简体" w:hAnsi="方正小标宋简体" w:cs="方正小标宋简体" w:hint="eastAsia"/>
          <w:spacing w:val="-2"/>
          <w:sz w:val="44"/>
          <w:szCs w:val="44"/>
        </w:rPr>
        <w:t>先行处置物品确认书</w:t>
      </w:r>
    </w:p>
    <w:p w:rsidR="00505C58" w:rsidRDefault="00505C58"/>
    <w:p w:rsidR="00505C58" w:rsidRDefault="00505C58"/>
    <w:tbl>
      <w:tblPr>
        <w:tblStyle w:val="TableNormal"/>
        <w:tblW w:w="8526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5"/>
        <w:gridCol w:w="7421"/>
      </w:tblGrid>
      <w:tr w:rsidR="00505C58">
        <w:trPr>
          <w:trHeight w:val="591"/>
        </w:trPr>
        <w:tc>
          <w:tcPr>
            <w:tcW w:w="1105" w:type="dxa"/>
          </w:tcPr>
          <w:p w:rsidR="00505C58" w:rsidRDefault="00420399">
            <w:pPr>
              <w:spacing w:before="187" w:line="184" w:lineRule="auto"/>
              <w:ind w:firstLine="204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6"/>
                <w:sz w:val="24"/>
                <w:szCs w:val="24"/>
              </w:rPr>
              <w:t>权利人</w:t>
            </w:r>
          </w:p>
        </w:tc>
        <w:tc>
          <w:tcPr>
            <w:tcW w:w="7421" w:type="dxa"/>
          </w:tcPr>
          <w:p w:rsidR="00505C58" w:rsidRDefault="00505C58">
            <w:pPr>
              <w:rPr>
                <w:rFonts w:ascii="Malgun Gothic"/>
              </w:rPr>
            </w:pPr>
          </w:p>
        </w:tc>
      </w:tr>
      <w:tr w:rsidR="00505C58">
        <w:trPr>
          <w:trHeight w:val="2444"/>
        </w:trPr>
        <w:tc>
          <w:tcPr>
            <w:tcW w:w="1105" w:type="dxa"/>
            <w:textDirection w:val="tbRlV"/>
          </w:tcPr>
          <w:p w:rsidR="00505C58" w:rsidRDefault="00420399">
            <w:pPr>
              <w:spacing w:before="430" w:line="180" w:lineRule="auto"/>
              <w:ind w:firstLine="63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1"/>
                <w:sz w:val="24"/>
                <w:szCs w:val="24"/>
              </w:rPr>
              <w:t>告</w:t>
            </w:r>
            <w:r>
              <w:rPr>
                <w:rFonts w:ascii="仿宋" w:eastAsia="仿宋" w:hAnsi="仿宋" w:cs="仿宋"/>
                <w:spacing w:val="-37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sz w:val="24"/>
                <w:szCs w:val="24"/>
              </w:rPr>
              <w:t>知</w:t>
            </w:r>
            <w:r>
              <w:rPr>
                <w:rFonts w:ascii="仿宋" w:eastAsia="仿宋" w:hAnsi="仿宋" w:cs="仿宋"/>
                <w:spacing w:val="-4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sz w:val="24"/>
                <w:szCs w:val="24"/>
              </w:rPr>
              <w:t>事</w:t>
            </w:r>
            <w:r>
              <w:rPr>
                <w:rFonts w:ascii="仿宋" w:eastAsia="仿宋" w:hAnsi="仿宋" w:cs="仿宋"/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sz w:val="24"/>
                <w:szCs w:val="24"/>
              </w:rPr>
              <w:t>项</w:t>
            </w:r>
          </w:p>
        </w:tc>
        <w:tc>
          <w:tcPr>
            <w:tcW w:w="7421" w:type="dxa"/>
            <w:vAlign w:val="center"/>
          </w:tcPr>
          <w:p w:rsidR="00505C58" w:rsidRDefault="00420399">
            <w:pPr>
              <w:spacing w:before="52" w:line="184" w:lineRule="auto"/>
              <w:ind w:firstLine="589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依据《市场监督管理行政处罚程序规定》第四十一条第三款的</w:t>
            </w:r>
            <w:proofErr w:type="gramStart"/>
            <w:r>
              <w:rPr>
                <w:rFonts w:ascii="仿宋" w:eastAsia="仿宋" w:hAnsi="仿宋" w:cs="仿宋"/>
                <w:sz w:val="24"/>
                <w:szCs w:val="24"/>
              </w:rPr>
              <w:t>规</w:t>
            </w:r>
            <w:proofErr w:type="gramEnd"/>
          </w:p>
          <w:p w:rsidR="00505C58" w:rsidRDefault="00420399">
            <w:pPr>
              <w:spacing w:before="80" w:line="184" w:lineRule="auto"/>
              <w:ind w:firstLine="116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定，告知如下：</w:t>
            </w:r>
          </w:p>
          <w:p w:rsidR="00505C58" w:rsidRDefault="00420399">
            <w:pPr>
              <w:spacing w:before="65" w:line="184" w:lineRule="auto"/>
              <w:ind w:firstLine="598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对于查封、扣押的场所、设施或者财物，除法律、法规另有规定</w:t>
            </w:r>
          </w:p>
          <w:p w:rsidR="00505C58" w:rsidRDefault="00420399">
            <w:pPr>
              <w:spacing w:before="60" w:line="231" w:lineRule="auto"/>
              <w:ind w:left="116" w:right="106" w:firstLine="8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外，容易损毁、灭失、变质、保管困难或者保管费用过高、季节性商品等不宜长期保存的物品，在确定为罚没财物前，经权利人同意或者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</w:rPr>
              <w:t>申请，并经市场监督管理部门负责人批准，在采取相关措施留存证据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</w:rPr>
              <w:t>后，可以依法先行处置。</w:t>
            </w:r>
          </w:p>
        </w:tc>
      </w:tr>
      <w:tr w:rsidR="00505C58">
        <w:trPr>
          <w:trHeight w:val="2564"/>
        </w:trPr>
        <w:tc>
          <w:tcPr>
            <w:tcW w:w="1105" w:type="dxa"/>
          </w:tcPr>
          <w:p w:rsidR="00505C58" w:rsidRDefault="00505C58">
            <w:pPr>
              <w:spacing w:line="406" w:lineRule="auto"/>
              <w:rPr>
                <w:rFonts w:ascii="Malgun Gothic"/>
              </w:rPr>
            </w:pPr>
          </w:p>
          <w:p w:rsidR="00505C58" w:rsidRDefault="00420399">
            <w:pPr>
              <w:spacing w:before="78" w:line="319" w:lineRule="exact"/>
              <w:ind w:firstLine="322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7"/>
                <w:position w:val="4"/>
                <w:sz w:val="24"/>
                <w:szCs w:val="24"/>
              </w:rPr>
              <w:t>先行</w:t>
            </w:r>
          </w:p>
          <w:p w:rsidR="00505C58" w:rsidRDefault="00420399">
            <w:pPr>
              <w:spacing w:line="204" w:lineRule="auto"/>
              <w:ind w:firstLine="328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10"/>
                <w:sz w:val="24"/>
                <w:szCs w:val="24"/>
              </w:rPr>
              <w:t>处置</w:t>
            </w:r>
          </w:p>
          <w:p w:rsidR="00505C58" w:rsidRDefault="00420399">
            <w:pPr>
              <w:spacing w:before="55" w:line="184" w:lineRule="auto"/>
              <w:ind w:firstLine="326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9"/>
                <w:sz w:val="24"/>
                <w:szCs w:val="24"/>
              </w:rPr>
              <w:t>物品</w:t>
            </w:r>
          </w:p>
          <w:p w:rsidR="00505C58" w:rsidRDefault="00420399">
            <w:pPr>
              <w:spacing w:before="79" w:line="184" w:lineRule="auto"/>
              <w:ind w:firstLine="338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15"/>
                <w:sz w:val="24"/>
                <w:szCs w:val="24"/>
              </w:rPr>
              <w:t>范围</w:t>
            </w:r>
          </w:p>
        </w:tc>
        <w:tc>
          <w:tcPr>
            <w:tcW w:w="7421" w:type="dxa"/>
            <w:vAlign w:val="center"/>
          </w:tcPr>
          <w:p w:rsidR="00505C58" w:rsidRDefault="00420399">
            <w:pPr>
              <w:spacing w:before="53" w:line="246" w:lineRule="auto"/>
              <w:ind w:left="113" w:right="109" w:firstLine="28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rightMargin">
                    <wp:posOffset>-4643120</wp:posOffset>
                  </wp:positionH>
                  <wp:positionV relativeFrom="topMargin">
                    <wp:posOffset>1397635</wp:posOffset>
                  </wp:positionV>
                  <wp:extent cx="4575175" cy="7620"/>
                  <wp:effectExtent l="0" t="0" r="0" b="0"/>
                  <wp:wrapNone/>
                  <wp:docPr id="101" name="IM 1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IM 10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5175" cy="7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仿宋" w:eastAsia="仿宋" w:hAnsi="仿宋" w:cs="仿宋"/>
                <w:sz w:val="24"/>
                <w:szCs w:val="24"/>
              </w:rPr>
              <w:t>□</w:t>
            </w:r>
            <w:r>
              <w:rPr>
                <w:rFonts w:ascii="仿宋" w:eastAsia="仿宋" w:hAnsi="仿宋" w:cs="仿宋"/>
                <w:sz w:val="24"/>
                <w:szCs w:val="24"/>
              </w:rPr>
              <w:t>依据《实施行政强制措施决定书》（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昆</w:t>
            </w:r>
            <w:r>
              <w:rPr>
                <w:rFonts w:ascii="仿宋" w:eastAsia="仿宋" w:hAnsi="仿宋" w:cs="仿宋"/>
                <w:sz w:val="24"/>
                <w:szCs w:val="24"/>
              </w:rPr>
              <w:t>市监强制</w:t>
            </w:r>
            <w:proofErr w:type="gramEnd"/>
            <w:r>
              <w:rPr>
                <w:rFonts w:ascii="仿宋" w:eastAsia="仿宋" w:hAnsi="仿宋" w:cs="仿宋"/>
                <w:sz w:val="24"/>
                <w:szCs w:val="24"/>
              </w:rPr>
              <w:t>〔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/>
                <w:sz w:val="24"/>
                <w:szCs w:val="24"/>
              </w:rPr>
              <w:t>〕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/>
                <w:sz w:val="24"/>
                <w:szCs w:val="24"/>
              </w:rPr>
              <w:t>号），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  <w:u w:val="single"/>
              </w:rPr>
              <w:t>查封</w:t>
            </w:r>
            <w:r>
              <w:rPr>
                <w:rFonts w:ascii="仿宋" w:eastAsia="仿宋" w:hAnsi="仿宋" w:cs="仿宋"/>
                <w:sz w:val="24"/>
                <w:szCs w:val="24"/>
                <w:u w:val="single"/>
              </w:rPr>
              <w:t xml:space="preserve"> /</w:t>
            </w:r>
            <w:r>
              <w:rPr>
                <w:rFonts w:ascii="仿宋" w:eastAsia="仿宋" w:hAnsi="仿宋" w:cs="仿宋"/>
                <w:sz w:val="24"/>
                <w:szCs w:val="24"/>
                <w:u w:val="single"/>
              </w:rPr>
              <w:t>扣押</w:t>
            </w:r>
            <w:r>
              <w:rPr>
                <w:rFonts w:ascii="仿宋" w:eastAsia="仿宋" w:hAnsi="仿宋" w:cs="仿宋"/>
                <w:sz w:val="24"/>
                <w:szCs w:val="24"/>
              </w:rPr>
              <w:t>的全部物品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/>
                <w:sz w:val="24"/>
                <w:szCs w:val="24"/>
              </w:rPr>
              <w:t>详见《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</w:rPr>
              <w:t>场所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/</w:t>
            </w:r>
            <w:r>
              <w:rPr>
                <w:rFonts w:ascii="仿宋" w:eastAsia="仿宋" w:hAnsi="仿宋" w:cs="仿宋"/>
                <w:sz w:val="24"/>
                <w:szCs w:val="24"/>
              </w:rPr>
              <w:t>设施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/</w:t>
            </w:r>
            <w:r>
              <w:rPr>
                <w:rFonts w:ascii="仿宋" w:eastAsia="仿宋" w:hAnsi="仿宋" w:cs="仿宋"/>
                <w:sz w:val="24"/>
                <w:szCs w:val="24"/>
              </w:rPr>
              <w:t>财物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</w:rPr>
              <w:t>清单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</w:rPr>
              <w:t>》文书编号：</w:t>
            </w:r>
            <w:r>
              <w:rPr>
                <w:rFonts w:ascii="仿宋" w:eastAsia="仿宋" w:hAnsi="仿宋" w:cs="仿宋" w:hint="eastAsia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仿宋" w:eastAsia="仿宋" w:hAnsi="仿宋" w:cs="仿宋" w:hint="eastAsia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）；</w:t>
            </w:r>
          </w:p>
          <w:p w:rsidR="00505C58" w:rsidRDefault="00420399">
            <w:pPr>
              <w:spacing w:before="319" w:line="246" w:lineRule="auto"/>
              <w:ind w:left="113" w:right="107" w:firstLine="28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□</w:t>
            </w:r>
            <w:r>
              <w:rPr>
                <w:rFonts w:ascii="仿宋" w:eastAsia="仿宋" w:hAnsi="仿宋" w:cs="仿宋"/>
                <w:sz w:val="24"/>
                <w:szCs w:val="24"/>
              </w:rPr>
              <w:t>依据《实施行政强制措施决定书》（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昆</w:t>
            </w:r>
            <w:r>
              <w:rPr>
                <w:rFonts w:ascii="仿宋" w:eastAsia="仿宋" w:hAnsi="仿宋" w:cs="仿宋"/>
                <w:sz w:val="24"/>
                <w:szCs w:val="24"/>
              </w:rPr>
              <w:t>市监强制</w:t>
            </w:r>
            <w:proofErr w:type="gramEnd"/>
            <w:r>
              <w:rPr>
                <w:rFonts w:ascii="仿宋" w:eastAsia="仿宋" w:hAnsi="仿宋" w:cs="仿宋"/>
                <w:sz w:val="24"/>
                <w:szCs w:val="24"/>
              </w:rPr>
              <w:t>〔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/>
                <w:sz w:val="24"/>
                <w:szCs w:val="24"/>
              </w:rPr>
              <w:t>〕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/>
                <w:sz w:val="24"/>
                <w:szCs w:val="24"/>
              </w:rPr>
              <w:t>号</w:t>
            </w:r>
            <w:r>
              <w:rPr>
                <w:rFonts w:ascii="仿宋" w:eastAsia="仿宋" w:hAnsi="仿宋" w:cs="仿宋"/>
                <w:sz w:val="24"/>
                <w:szCs w:val="24"/>
              </w:rPr>
              <w:t>），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w w:val="98"/>
                <w:sz w:val="24"/>
                <w:szCs w:val="24"/>
                <w:u w:val="single"/>
              </w:rPr>
              <w:t>查封</w:t>
            </w:r>
            <w:r>
              <w:rPr>
                <w:rFonts w:ascii="仿宋" w:eastAsia="仿宋" w:hAnsi="仿宋" w:cs="仿宋"/>
                <w:w w:val="98"/>
                <w:sz w:val="24"/>
                <w:szCs w:val="24"/>
                <w:u w:val="single"/>
              </w:rPr>
              <w:t>/</w:t>
            </w:r>
            <w:r>
              <w:rPr>
                <w:rFonts w:ascii="仿宋" w:eastAsia="仿宋" w:hAnsi="仿宋" w:cs="仿宋"/>
                <w:w w:val="98"/>
                <w:sz w:val="24"/>
                <w:szCs w:val="24"/>
                <w:u w:val="single"/>
              </w:rPr>
              <w:t>扣押</w:t>
            </w:r>
            <w:r>
              <w:rPr>
                <w:rFonts w:ascii="仿宋" w:eastAsia="仿宋" w:hAnsi="仿宋" w:cs="仿宋"/>
                <w:w w:val="98"/>
                <w:sz w:val="24"/>
                <w:szCs w:val="24"/>
              </w:rPr>
              <w:t>物品中的下列物品：</w:t>
            </w:r>
            <w:r>
              <w:rPr>
                <w:rFonts w:ascii="仿宋" w:eastAsia="仿宋" w:hAnsi="仿宋" w:cs="仿宋"/>
                <w:sz w:val="24"/>
                <w:szCs w:val="24"/>
                <w:u w:val="single"/>
              </w:rPr>
              <w:t xml:space="preserve">                               </w:t>
            </w:r>
            <w:r>
              <w:rPr>
                <w:rFonts w:ascii="仿宋" w:eastAsia="仿宋" w:hAnsi="仿宋" w:cs="仿宋"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" w:eastAsia="仿宋" w:hAnsi="仿宋" w:cs="仿宋"/>
                <w:sz w:val="24"/>
                <w:szCs w:val="24"/>
                <w:u w:val="single"/>
              </w:rPr>
              <w:t xml:space="preserve">    </w:t>
            </w:r>
          </w:p>
        </w:tc>
      </w:tr>
      <w:tr w:rsidR="00505C58">
        <w:trPr>
          <w:trHeight w:val="1732"/>
        </w:trPr>
        <w:tc>
          <w:tcPr>
            <w:tcW w:w="1105" w:type="dxa"/>
          </w:tcPr>
          <w:p w:rsidR="00505C58" w:rsidRDefault="00420399">
            <w:pPr>
              <w:spacing w:before="436" w:line="322" w:lineRule="exact"/>
              <w:ind w:firstLine="322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7"/>
                <w:position w:val="5"/>
                <w:sz w:val="24"/>
                <w:szCs w:val="24"/>
              </w:rPr>
              <w:t>先行</w:t>
            </w:r>
          </w:p>
          <w:p w:rsidR="00505C58" w:rsidRDefault="00420399">
            <w:pPr>
              <w:spacing w:line="204" w:lineRule="auto"/>
              <w:ind w:firstLine="328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10"/>
                <w:sz w:val="24"/>
                <w:szCs w:val="24"/>
              </w:rPr>
              <w:t>处置</w:t>
            </w:r>
          </w:p>
          <w:p w:rsidR="00505C58" w:rsidRDefault="00420399">
            <w:pPr>
              <w:spacing w:before="52" w:line="184" w:lineRule="auto"/>
              <w:ind w:firstLine="322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7"/>
                <w:sz w:val="24"/>
                <w:szCs w:val="24"/>
              </w:rPr>
              <w:t>方式</w:t>
            </w:r>
          </w:p>
        </w:tc>
        <w:tc>
          <w:tcPr>
            <w:tcW w:w="7421" w:type="dxa"/>
            <w:vAlign w:val="center"/>
          </w:tcPr>
          <w:p w:rsidR="00505C58" w:rsidRDefault="00420399">
            <w:pPr>
              <w:spacing w:before="374" w:line="184" w:lineRule="auto"/>
              <w:ind w:firstLine="141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page">
                        <wp:posOffset>525145</wp:posOffset>
                      </wp:positionH>
                      <wp:positionV relativeFrom="page">
                        <wp:posOffset>383540</wp:posOffset>
                      </wp:positionV>
                      <wp:extent cx="2286000" cy="7620"/>
                      <wp:effectExtent l="0" t="0" r="0" b="0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0" cy="7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>
                                  <a:alpha val="8549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rect id="_x0000_s1026" o:spid="_x0000_s1026" o:spt="1" style="position:absolute;left:0pt;margin-left:41.35pt;margin-top:30.2pt;height:0.6pt;width:180pt;mso-position-horizontal-relative:page;mso-position-vertical-relative:page;z-index:251661312;mso-width-relative:page;mso-height-relative:page;" fillcolor="#000000" filled="t" stroked="f" coordsize="21600,21600" o:gfxdata="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yE7+P1AAAAAgBAAAPAAAAAAAAAAEAIAAAACIAAABkcnMvZG93bnJldi54bWxQSwECFAAU&#10;AAAACACHTuJAe072LLwBAAB+AwAADgAAAAAAAAABACAAAAAjAQAAZHJzL2Uyb0RvYy54bWxQSwUG&#10;AAAAAAYABgBZAQAAUQUAAAAA&#10;">
                      <v:fill on="t" opacity="56026f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page">
                        <wp:posOffset>525145</wp:posOffset>
                      </wp:positionH>
                      <wp:positionV relativeFrom="page">
                        <wp:posOffset>587375</wp:posOffset>
                      </wp:positionV>
                      <wp:extent cx="2286000" cy="7620"/>
                      <wp:effectExtent l="0" t="0" r="0" b="0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0" cy="7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>
                                  <a:alpha val="80392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rect id="_x0000_s1026" o:spid="_x0000_s1026" o:spt="1" style="position:absolute;left:0pt;margin-left:41.35pt;margin-top:46.25pt;height:0.6pt;width:180pt;mso-position-horizontal-relative:page;mso-position-vertical-relative:page;z-index:251660288;mso-width-relative:page;mso-height-relative:page;" fillcolor="#000000" filled="t" stroked="f" coordsize="21600,21600" o:gfxdata="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PRHDj2QAAAAgBAAAPAAAAAAAAAAEAIAAAACIAAABkcnMvZG93bnJldi54bWxQ&#10;SwECFAAUAAAACACHTuJAI/Z+3r0BAAB+AwAADgAAAAAAAAABACAAAAAoAQAAZHJzL2Uyb0RvYy54&#10;bWxQSwUGAAAAAAYABgBZAQAAVwUAAAAA&#10;">
                      <v:fill on="t" opacity="52685f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仿宋" w:eastAsia="仿宋" w:hAnsi="仿宋" w:cs="仿宋"/>
                <w:sz w:val="24"/>
                <w:szCs w:val="24"/>
              </w:rPr>
              <w:t>□</w:t>
            </w:r>
            <w:r>
              <w:rPr>
                <w:rFonts w:ascii="仿宋" w:eastAsia="仿宋" w:hAnsi="仿宋" w:cs="仿宋"/>
                <w:sz w:val="24"/>
                <w:szCs w:val="24"/>
              </w:rPr>
              <w:t>委托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           </w:t>
            </w:r>
            <w:r>
              <w:rPr>
                <w:rFonts w:ascii="仿宋" w:eastAsia="仿宋" w:hAnsi="仿宋" w:cs="仿宋"/>
                <w:sz w:val="24"/>
                <w:szCs w:val="24"/>
              </w:rPr>
              <w:t>依法进行拍卖；</w:t>
            </w:r>
          </w:p>
          <w:p w:rsidR="00505C58" w:rsidRDefault="00420399">
            <w:pPr>
              <w:spacing w:before="79" w:line="184" w:lineRule="auto"/>
              <w:ind w:firstLine="141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□</w:t>
            </w:r>
            <w:r>
              <w:rPr>
                <w:rFonts w:ascii="仿宋" w:eastAsia="仿宋" w:hAnsi="仿宋" w:cs="仿宋"/>
                <w:sz w:val="24"/>
                <w:szCs w:val="24"/>
              </w:rPr>
              <w:t>通过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           </w:t>
            </w:r>
            <w:r>
              <w:rPr>
                <w:rFonts w:ascii="仿宋" w:eastAsia="仿宋" w:hAnsi="仿宋" w:cs="仿宋"/>
                <w:sz w:val="24"/>
                <w:szCs w:val="24"/>
              </w:rPr>
              <w:t>方式进行变卖；</w:t>
            </w:r>
          </w:p>
          <w:p w:rsidR="00505C58" w:rsidRDefault="00420399">
            <w:pPr>
              <w:spacing w:before="79" w:line="184" w:lineRule="auto"/>
              <w:ind w:firstLine="141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□</w:t>
            </w:r>
            <w:r>
              <w:rPr>
                <w:rFonts w:ascii="仿宋" w:eastAsia="仿宋" w:hAnsi="仿宋" w:cs="仿宋"/>
                <w:sz w:val="24"/>
                <w:szCs w:val="24"/>
                <w:u w:val="single"/>
              </w:rPr>
              <w:t xml:space="preserve">                                             </w:t>
            </w:r>
            <w:r>
              <w:rPr>
                <w:rFonts w:ascii="仿宋" w:eastAsia="仿宋" w:hAnsi="仿宋" w:cs="仿宋"/>
                <w:sz w:val="24"/>
                <w:szCs w:val="24"/>
              </w:rPr>
              <w:t>；</w:t>
            </w:r>
          </w:p>
        </w:tc>
      </w:tr>
      <w:tr w:rsidR="00505C58">
        <w:trPr>
          <w:trHeight w:val="1284"/>
        </w:trPr>
        <w:tc>
          <w:tcPr>
            <w:tcW w:w="1105" w:type="dxa"/>
          </w:tcPr>
          <w:p w:rsidR="00505C58" w:rsidRDefault="00420399">
            <w:pPr>
              <w:spacing w:before="53" w:line="322" w:lineRule="exact"/>
              <w:ind w:firstLine="324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8"/>
                <w:position w:val="5"/>
                <w:sz w:val="24"/>
                <w:szCs w:val="24"/>
              </w:rPr>
              <w:t>执法</w:t>
            </w:r>
          </w:p>
          <w:p w:rsidR="00505C58" w:rsidRDefault="00420399">
            <w:pPr>
              <w:spacing w:line="204" w:lineRule="auto"/>
              <w:ind w:firstLine="32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6"/>
                <w:sz w:val="24"/>
                <w:szCs w:val="24"/>
              </w:rPr>
              <w:t>人员</w:t>
            </w:r>
          </w:p>
          <w:p w:rsidR="00505C58" w:rsidRDefault="00420399">
            <w:pPr>
              <w:spacing w:before="52" w:line="184" w:lineRule="auto"/>
              <w:ind w:firstLine="318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5"/>
                <w:sz w:val="24"/>
                <w:szCs w:val="24"/>
              </w:rPr>
              <w:t>联系</w:t>
            </w:r>
          </w:p>
          <w:p w:rsidR="00505C58" w:rsidRDefault="00420399">
            <w:pPr>
              <w:spacing w:before="80" w:line="184" w:lineRule="auto"/>
              <w:ind w:firstLine="322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7"/>
                <w:sz w:val="24"/>
                <w:szCs w:val="24"/>
              </w:rPr>
              <w:t>方式</w:t>
            </w:r>
          </w:p>
        </w:tc>
        <w:tc>
          <w:tcPr>
            <w:tcW w:w="7421" w:type="dxa"/>
          </w:tcPr>
          <w:p w:rsidR="00505C58" w:rsidRDefault="00420399">
            <w:pPr>
              <w:spacing w:before="338" w:line="184" w:lineRule="auto"/>
              <w:ind w:firstLine="113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w w:val="90"/>
                <w:sz w:val="24"/>
                <w:szCs w:val="24"/>
              </w:rPr>
              <w:t>联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w w:val="90"/>
                <w:sz w:val="24"/>
                <w:szCs w:val="24"/>
              </w:rPr>
              <w:t>系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w w:val="90"/>
                <w:sz w:val="24"/>
                <w:szCs w:val="24"/>
              </w:rPr>
              <w:t>人：</w:t>
            </w:r>
            <w:r>
              <w:rPr>
                <w:rFonts w:ascii="仿宋" w:eastAsia="仿宋" w:hAnsi="仿宋" w:cs="仿宋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仿宋" w:eastAsia="仿宋" w:hAnsi="仿宋" w:cs="仿宋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" w:eastAsia="仿宋" w:hAnsi="仿宋" w:cs="仿宋"/>
                <w:w w:val="90"/>
                <w:sz w:val="24"/>
                <w:szCs w:val="24"/>
              </w:rPr>
              <w:t>联系电话：</w:t>
            </w:r>
            <w:r>
              <w:rPr>
                <w:rFonts w:ascii="仿宋" w:eastAsia="仿宋" w:hAnsi="仿宋" w:cs="仿宋"/>
                <w:sz w:val="24"/>
                <w:szCs w:val="24"/>
                <w:u w:val="single"/>
              </w:rPr>
              <w:t xml:space="preserve">                     </w:t>
            </w:r>
          </w:p>
          <w:p w:rsidR="00505C58" w:rsidRDefault="00420399">
            <w:pPr>
              <w:spacing w:before="60" w:line="184" w:lineRule="auto"/>
              <w:ind w:firstLine="113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w w:val="93"/>
                <w:sz w:val="24"/>
                <w:szCs w:val="24"/>
              </w:rPr>
              <w:t>联系地址：</w:t>
            </w:r>
            <w:r>
              <w:rPr>
                <w:rFonts w:ascii="仿宋" w:eastAsia="仿宋" w:hAnsi="仿宋" w:cs="仿宋"/>
                <w:sz w:val="24"/>
                <w:szCs w:val="24"/>
                <w:u w:val="single"/>
              </w:rPr>
              <w:t xml:space="preserve">                 </w:t>
            </w:r>
            <w:r>
              <w:rPr>
                <w:rFonts w:ascii="仿宋" w:eastAsia="仿宋" w:hAnsi="仿宋" w:cs="仿宋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  <w:u w:val="single"/>
              </w:rPr>
              <w:t xml:space="preserve">                          </w:t>
            </w:r>
          </w:p>
        </w:tc>
      </w:tr>
      <w:tr w:rsidR="00505C58">
        <w:trPr>
          <w:trHeight w:val="2684"/>
        </w:trPr>
        <w:tc>
          <w:tcPr>
            <w:tcW w:w="1105" w:type="dxa"/>
            <w:textDirection w:val="tbRlV"/>
          </w:tcPr>
          <w:p w:rsidR="00505C58" w:rsidRDefault="00420399">
            <w:pPr>
              <w:spacing w:before="429" w:line="180" w:lineRule="auto"/>
              <w:ind w:firstLine="595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1"/>
                <w:sz w:val="24"/>
                <w:szCs w:val="24"/>
              </w:rPr>
              <w:t>权</w:t>
            </w:r>
            <w:r>
              <w:rPr>
                <w:rFonts w:ascii="仿宋" w:eastAsia="仿宋" w:hAnsi="仿宋" w:cs="仿宋"/>
                <w:spacing w:val="-4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sz w:val="24"/>
                <w:szCs w:val="24"/>
              </w:rPr>
              <w:t>利</w:t>
            </w:r>
            <w:r>
              <w:rPr>
                <w:rFonts w:ascii="仿宋" w:eastAsia="仿宋" w:hAnsi="仿宋" w:cs="仿宋"/>
                <w:spacing w:val="-37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sz w:val="24"/>
                <w:szCs w:val="24"/>
              </w:rPr>
              <w:t>人</w:t>
            </w:r>
            <w:r>
              <w:rPr>
                <w:rFonts w:ascii="仿宋" w:eastAsia="仿宋" w:hAnsi="仿宋" w:cs="仿宋"/>
                <w:spacing w:val="-4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sz w:val="24"/>
                <w:szCs w:val="24"/>
              </w:rPr>
              <w:t>确</w:t>
            </w:r>
            <w:r>
              <w:rPr>
                <w:rFonts w:ascii="仿宋" w:eastAsia="仿宋" w:hAnsi="仿宋" w:cs="仿宋"/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sz w:val="24"/>
                <w:szCs w:val="24"/>
              </w:rPr>
              <w:t>认</w:t>
            </w:r>
          </w:p>
        </w:tc>
        <w:tc>
          <w:tcPr>
            <w:tcW w:w="7421" w:type="dxa"/>
          </w:tcPr>
          <w:p w:rsidR="00505C58" w:rsidRDefault="00420399">
            <w:pPr>
              <w:spacing w:before="176" w:line="246" w:lineRule="auto"/>
              <w:ind w:left="123" w:right="106" w:firstLine="476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上述物品属于《市场监督管理行政处罚程序规定》第四十一条第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</w:rPr>
              <w:t>三款规定的不宜长期保存的物品，本人（单位）清楚了解先行处置的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</w:rPr>
              <w:t>内容及后果，为防止造成不必要的损失，本人（单位）同意按照上述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</w:rPr>
              <w:t>处置方式先行处置。</w:t>
            </w:r>
          </w:p>
          <w:p w:rsidR="00505C58" w:rsidRDefault="00420399">
            <w:pPr>
              <w:spacing w:before="320" w:line="639" w:lineRule="exact"/>
              <w:ind w:firstLine="3959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w w:val="89"/>
                <w:position w:val="30"/>
                <w:sz w:val="24"/>
                <w:szCs w:val="24"/>
              </w:rPr>
              <w:t>权利人：</w:t>
            </w:r>
            <w:r>
              <w:rPr>
                <w:rFonts w:ascii="仿宋" w:eastAsia="仿宋" w:hAnsi="仿宋" w:cs="仿宋"/>
                <w:position w:val="30"/>
                <w:sz w:val="24"/>
                <w:szCs w:val="24"/>
                <w:u w:val="single"/>
              </w:rPr>
              <w:t xml:space="preserve">                     </w:t>
            </w:r>
          </w:p>
          <w:p w:rsidR="00505C58" w:rsidRDefault="00420399">
            <w:pPr>
              <w:spacing w:line="204" w:lineRule="auto"/>
              <w:ind w:firstLine="4796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    </w:t>
            </w:r>
            <w:r>
              <w:rPr>
                <w:rFonts w:ascii="仿宋" w:eastAsia="仿宋" w:hAnsi="仿宋" w:cs="仿宋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    </w:t>
            </w:r>
            <w:r>
              <w:rPr>
                <w:rFonts w:ascii="仿宋" w:eastAsia="仿宋" w:hAnsi="仿宋" w:cs="仿宋"/>
                <w:sz w:val="24"/>
                <w:szCs w:val="24"/>
              </w:rPr>
              <w:t>日</w:t>
            </w:r>
          </w:p>
        </w:tc>
      </w:tr>
      <w:tr w:rsidR="00505C58" w:rsidTr="00634285">
        <w:trPr>
          <w:trHeight w:val="521"/>
        </w:trPr>
        <w:tc>
          <w:tcPr>
            <w:tcW w:w="1105" w:type="dxa"/>
          </w:tcPr>
          <w:p w:rsidR="00505C58" w:rsidRDefault="00420399">
            <w:pPr>
              <w:spacing w:before="246" w:line="184" w:lineRule="auto"/>
              <w:ind w:firstLine="321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7"/>
                <w:sz w:val="24"/>
                <w:szCs w:val="24"/>
              </w:rPr>
              <w:t>备注</w:t>
            </w:r>
          </w:p>
        </w:tc>
        <w:tc>
          <w:tcPr>
            <w:tcW w:w="7421" w:type="dxa"/>
          </w:tcPr>
          <w:p w:rsidR="00505C58" w:rsidRDefault="00505C58">
            <w:pPr>
              <w:rPr>
                <w:rFonts w:ascii="Malgun Gothic"/>
              </w:rPr>
            </w:pPr>
          </w:p>
        </w:tc>
      </w:tr>
    </w:tbl>
    <w:p w:rsidR="00505C58" w:rsidRPr="00634285" w:rsidRDefault="00505C58">
      <w:pPr>
        <w:rPr>
          <w:rFonts w:eastAsiaTheme="minorEastAsia" w:hint="eastAsia"/>
        </w:rPr>
      </w:pPr>
      <w:bookmarkStart w:id="0" w:name="_GoBack"/>
      <w:bookmarkEnd w:id="0"/>
    </w:p>
    <w:sectPr w:rsidR="00505C58" w:rsidRPr="006342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399" w:rsidRDefault="00420399">
      <w:r>
        <w:separator/>
      </w:r>
    </w:p>
  </w:endnote>
  <w:endnote w:type="continuationSeparator" w:id="0">
    <w:p w:rsidR="00420399" w:rsidRDefault="00420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399" w:rsidRDefault="00420399">
      <w:r>
        <w:separator/>
      </w:r>
    </w:p>
  </w:footnote>
  <w:footnote w:type="continuationSeparator" w:id="0">
    <w:p w:rsidR="00420399" w:rsidRDefault="004203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C58"/>
    <w:rsid w:val="00420399"/>
    <w:rsid w:val="00505C58"/>
    <w:rsid w:val="00634285"/>
    <w:rsid w:val="170A5E15"/>
    <w:rsid w:val="45943566"/>
    <w:rsid w:val="5E43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张毅</cp:lastModifiedBy>
  <cp:revision>2</cp:revision>
  <dcterms:created xsi:type="dcterms:W3CDTF">2021-08-24T02:56:00Z</dcterms:created>
  <dcterms:modified xsi:type="dcterms:W3CDTF">2022-01-11T01:04:00Z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8AF6A977C56247FDA7CA38128DE88CDB</vt:lpwstr>
  </property>
</Properties>
</file>