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ABF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昆都仑区人民政府</w:t>
      </w:r>
    </w:p>
    <w:p w14:paraId="764DCB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44"/>
        </w:rPr>
        <w:t>昆都仑区全民科学素质行动</w:t>
      </w:r>
    </w:p>
    <w:p w14:paraId="25F9EB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规划纲要实施方案（2021—2025年）》</w:t>
      </w:r>
      <w:r>
        <w:rPr>
          <w:rFonts w:hint="default" w:ascii="Times New Roman" w:hAnsi="Times New Roman" w:eastAsia="方正小标宋简体" w:cs="Times New Roman"/>
          <w:sz w:val="44"/>
          <w:szCs w:val="44"/>
          <w:lang w:eastAsia="zh-CN"/>
        </w:rPr>
        <w:t>的通知</w:t>
      </w:r>
    </w:p>
    <w:p w14:paraId="542941C5">
      <w:pPr>
        <w:pStyle w:val="2"/>
        <w:rPr>
          <w:rFonts w:hint="default" w:ascii="Times New Roman" w:hAnsi="Times New Roman" w:eastAsia="方正小标宋简体" w:cs="Times New Roman"/>
          <w:sz w:val="44"/>
          <w:szCs w:val="44"/>
          <w:lang w:eastAsia="zh-CN"/>
        </w:rPr>
      </w:pPr>
    </w:p>
    <w:p w14:paraId="0664A7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昆府发〔2023〕</w:t>
      </w:r>
      <w:r>
        <w:rPr>
          <w:rFonts w:hint="eastAsia" w:cs="Times New Roman"/>
          <w:sz w:val="32"/>
          <w:szCs w:val="32"/>
          <w:lang w:val="en-US" w:eastAsia="zh-CN"/>
        </w:rPr>
        <w:t>20</w:t>
      </w:r>
      <w:r>
        <w:rPr>
          <w:rFonts w:hint="default" w:ascii="Times New Roman" w:hAnsi="Times New Roman" w:eastAsia="仿宋_GB2312" w:cs="Times New Roman"/>
          <w:sz w:val="32"/>
          <w:szCs w:val="32"/>
        </w:rPr>
        <w:t>号</w:t>
      </w:r>
    </w:p>
    <w:p w14:paraId="58446D9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rPr>
      </w:pPr>
    </w:p>
    <w:p w14:paraId="74FE26F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驻区、区属各部门、各单位：</w:t>
      </w:r>
    </w:p>
    <w:p w14:paraId="6A1E6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US" w:eastAsia="zh-CN"/>
        </w:rPr>
      </w:pPr>
      <w:r>
        <w:rPr>
          <w:rFonts w:hint="eastAsia" w:cs="Times New Roman"/>
          <w:sz w:val="32"/>
          <w:szCs w:val="32"/>
          <w:lang w:val="en-US" w:eastAsia="zh-CN"/>
        </w:rPr>
        <w:t>经区政府同意，</w:t>
      </w:r>
      <w:r>
        <w:rPr>
          <w:rFonts w:hint="default" w:ascii="Times New Roman" w:hAnsi="Times New Roman" w:cs="Times New Roman"/>
          <w:sz w:val="32"/>
          <w:szCs w:val="32"/>
          <w:lang w:val="en-US" w:eastAsia="zh-CN"/>
        </w:rPr>
        <w:t>现将《昆都仑区全民科学素质行动规划纲要实施方案（2021—2025年）》印发给你单位，请结合工作实际，抓好贯彻落实。</w:t>
      </w:r>
    </w:p>
    <w:p w14:paraId="396BDD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cs="Times New Roman"/>
          <w:sz w:val="32"/>
          <w:szCs w:val="32"/>
          <w:lang w:val="en-US" w:eastAsia="zh-CN"/>
        </w:rPr>
      </w:pPr>
    </w:p>
    <w:p w14:paraId="09834D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cs="Times New Roman"/>
          <w:sz w:val="32"/>
          <w:szCs w:val="32"/>
          <w:lang w:val="en-US" w:eastAsia="zh-CN"/>
        </w:rPr>
      </w:pPr>
    </w:p>
    <w:p w14:paraId="65B85A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昆都仑区人民政府</w:t>
      </w:r>
    </w:p>
    <w:p w14:paraId="5B6802A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2023年</w:t>
      </w:r>
      <w:r>
        <w:rPr>
          <w:rFonts w:hint="eastAsia" w:cs="Times New Roman"/>
          <w:sz w:val="32"/>
          <w:szCs w:val="32"/>
          <w:lang w:val="en-US" w:eastAsia="zh-CN"/>
        </w:rPr>
        <w:t>11</w:t>
      </w:r>
      <w:r>
        <w:rPr>
          <w:rFonts w:hint="default" w:ascii="Times New Roman" w:hAnsi="Times New Roman" w:cs="Times New Roman"/>
          <w:sz w:val="32"/>
          <w:szCs w:val="32"/>
          <w:lang w:val="en-US" w:eastAsia="zh-CN"/>
        </w:rPr>
        <w:t>月</w:t>
      </w:r>
      <w:r>
        <w:rPr>
          <w:rFonts w:hint="eastAsia" w:cs="Times New Roman"/>
          <w:sz w:val="32"/>
          <w:szCs w:val="32"/>
          <w:lang w:val="en-US" w:eastAsia="zh-CN"/>
        </w:rPr>
        <w:t>28</w:t>
      </w:r>
      <w:r>
        <w:rPr>
          <w:rFonts w:hint="default" w:ascii="Times New Roman" w:hAnsi="Times New Roman" w:cs="Times New Roman"/>
          <w:sz w:val="32"/>
          <w:szCs w:val="32"/>
          <w:lang w:val="en-US" w:eastAsia="zh-CN"/>
        </w:rPr>
        <w:t>日</w:t>
      </w:r>
    </w:p>
    <w:p w14:paraId="6DCA4CD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538AB4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53DC793">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641B4BE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p>
    <w:p w14:paraId="118687D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昆都仑区全民科学素质行动规划纲要</w:t>
      </w:r>
    </w:p>
    <w:p w14:paraId="7740C2E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sz w:val="44"/>
          <w:szCs w:val="44"/>
        </w:rPr>
        <w:t>实施方案（2021</w:t>
      </w:r>
      <w:r>
        <w:rPr>
          <w:rFonts w:hint="eastAsia" w:eastAsia="方正小标宋简体" w:cs="Times New Roman"/>
          <w:sz w:val="44"/>
          <w:szCs w:val="44"/>
          <w:lang w:eastAsia="zh-CN"/>
        </w:rPr>
        <w:t>—</w:t>
      </w:r>
      <w:r>
        <w:rPr>
          <w:rFonts w:hint="default" w:ascii="Times New Roman" w:hAnsi="Times New Roman" w:eastAsia="方正小标宋简体" w:cs="Times New Roman"/>
          <w:sz w:val="44"/>
          <w:szCs w:val="44"/>
        </w:rPr>
        <w:t>2025年）</w:t>
      </w:r>
    </w:p>
    <w:p w14:paraId="5951D26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cs="Times New Roman"/>
          <w:sz w:val="32"/>
          <w:szCs w:val="32"/>
        </w:rPr>
      </w:pPr>
    </w:p>
    <w:p w14:paraId="4C11E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为贯彻落实《国务院关于印发全民科学素质行动规划纲要（2021—2035）年的通知》（国发〔2021〕9号）、《内蒙古自治区人民政府关于印发全民科学素质行动规划纲要实施方案（2021-2025年）的通知》（内政发〔2021〕22号）和《包头市人民政府关于印发包头市全民科学素质行动规划纲要实施方案</w:t>
      </w:r>
      <w:r>
        <w:rPr>
          <w:rFonts w:hint="eastAsia" w:cs="Times New Roman"/>
          <w:sz w:val="32"/>
          <w:szCs w:val="32"/>
          <w:lang w:eastAsia="zh-CN"/>
        </w:rPr>
        <w:t>（</w:t>
      </w:r>
      <w:r>
        <w:rPr>
          <w:rFonts w:hint="default" w:ascii="Times New Roman" w:hAnsi="Times New Roman" w:cs="Times New Roman"/>
          <w:sz w:val="32"/>
          <w:szCs w:val="32"/>
        </w:rPr>
        <w:t>2021-2025年</w:t>
      </w:r>
      <w:r>
        <w:rPr>
          <w:rFonts w:hint="eastAsia" w:cs="Times New Roman"/>
          <w:sz w:val="32"/>
          <w:szCs w:val="32"/>
          <w:lang w:eastAsia="zh-CN"/>
        </w:rPr>
        <w:t>）</w:t>
      </w:r>
      <w:r>
        <w:rPr>
          <w:rFonts w:hint="default" w:ascii="Times New Roman" w:hAnsi="Times New Roman" w:cs="Times New Roman"/>
          <w:sz w:val="32"/>
          <w:szCs w:val="32"/>
        </w:rPr>
        <w:t>的通知》（包府发〔2022〕42号）的精神，结合我区实际，制定本实施方案。</w:t>
      </w:r>
    </w:p>
    <w:p w14:paraId="4BAE9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62A976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6942F1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以习近平新时代中国特色社会主义思想为指导，深入贯彻落实党的十九大、十九届历次全会、</w:t>
      </w:r>
      <w:r>
        <w:rPr>
          <w:rFonts w:hint="eastAsia" w:cs="Times New Roman"/>
          <w:sz w:val="32"/>
          <w:szCs w:val="32"/>
          <w:lang w:val="en-US" w:eastAsia="zh-CN"/>
        </w:rPr>
        <w:t>党的</w:t>
      </w:r>
      <w:r>
        <w:rPr>
          <w:rFonts w:hint="default" w:ascii="Times New Roman" w:hAnsi="Times New Roman" w:cs="Times New Roman"/>
          <w:sz w:val="32"/>
          <w:szCs w:val="32"/>
        </w:rPr>
        <w:t>二十大精神，坚持党的全面领导，坚持以人民为中心，坚持新发展理念，统筹推进“五位一体”总体布局，协调推进“四个全面”战略布局，全面贯彻落实习近平总书记关于科普和科学素质建设的重要论述和对内蒙古重要讲话重要指示批示精神，铸牢中华民族共同体意识，按照“党的领导、政府推动、全民参与、社会协同、开放合作”的建设模式，以提高全民科学素质服务高质量发展、高品质生活为目标，以践行社会主义核心价值观、弘扬科学精神为主线，以深化科普供给侧改革为重点，着力打造社会化协同、分众化覆盖、系统化集成、智慧化传播、规范化建设、科学化评价的全域科普新格局。</w:t>
      </w:r>
    </w:p>
    <w:p w14:paraId="2D9A0D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60BAA4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突出科学精神引领。践行社会主义核心价值观，弘扬科学精神和科学家精神，传递科学的思想观念和行为方式，加强理性质疑、勇于创新、求真务实、包容失败的创新文化建设，坚定创新自信，形成崇尚创新创造和科学文明的社会氛围。</w:t>
      </w:r>
    </w:p>
    <w:p w14:paraId="4C3E81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坚持协同推进。发挥政府在公民科学素质建设中的推动作用，强化组织领导、统筹调度、协同推进、政策支持、投入保障，激发高等学校、科研院所、企业、基层组织、社会团体等多元主体活力，激发全民参与积极性，大力推动科普产业化、市场化。</w:t>
      </w:r>
    </w:p>
    <w:p w14:paraId="65E5B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深化供给侧改革。解决制约科普高质量发展的问题，突出需求导向和价值导向，创新组织动员机制，强化政策法规保障，推动科普内容、形式和手段等创新提升，探索科普供给新方法、新路径，促进科技资源科普化，推动科普资源整合与开放共享，提高科普的知识含量，满足全社会对高质量科普的需求。</w:t>
      </w:r>
    </w:p>
    <w:p w14:paraId="5674A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（三）工作目标</w:t>
      </w:r>
    </w:p>
    <w:p w14:paraId="726B7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到2025年，全区公民具备科学素质的比例达到15%。科普公共产品和服务供给能力显著提升，科普活动覆盖面和有效性进一步拓展，科普人才队伍不断壮大，全域科普体系逐步形成。科学精神在全社会广泛弘扬，崇尚创新的社会氛围日益浓厚，社会文明程度明显提升。</w:t>
      </w:r>
    </w:p>
    <w:p w14:paraId="7CC4FC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14:paraId="2C2A1B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十四五”时期，着力开展青少年、农牧民、产业工人、老年人以及领导干部和公务员等五大重点人群科学素质提升行动，着力抓好科技资源科普化、科普信息化提升、科普基础设施建设、基层科普能力提升、科普资源开发等五项重点工程。</w:t>
      </w:r>
    </w:p>
    <w:p w14:paraId="3C1093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（一）实施青少年科学素质提升行动。</w:t>
      </w:r>
      <w:r>
        <w:rPr>
          <w:rFonts w:hint="default" w:ascii="Times New Roman" w:hAnsi="Times New Roman" w:cs="Times New Roman"/>
          <w:sz w:val="32"/>
          <w:szCs w:val="32"/>
        </w:rPr>
        <w:t>全面提升青少年科学教育水平。围绕激发青少年好奇心和想象力，增强科学兴趣、创新意识、创新能力及实践能力。</w:t>
      </w:r>
    </w:p>
    <w:p w14:paraId="7F9FEE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将弘扬科学精神贯穿于育人全链条。坚持立德树人，实施科学家精神进校园行动，将科学精神融入课堂教学和课外实践活动，激励青少年树立投身建设世界科技强国的远大志向，培养学生爱国情怀、社会责任感、创新精神和实践能力。</w:t>
      </w:r>
    </w:p>
    <w:p w14:paraId="59287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建立校内外科学教育联动机制。鼓励科学家、工程师、医疗卫生专家等科技工作者走进校园，开展科学教育、生态文明教育活动，普及节约资源、保护环境、防灾应急、身心健康等知识，加强珍爱生命、远离毒品和崇尚科学文明、反对愚昧迷信的科学教育。学校每学期举办科普讲座数量不少于4次，参与科普活动的在校学生人数应达到90%以上。推动科普大篷车、青少年科学工作室、青少年创客活动室等青少年主题活动进校园，形成校内外融合发展的青少年科技教育新格局。</w:t>
      </w:r>
    </w:p>
    <w:p w14:paraId="3DF8E0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深入开展各类青少年科技教育活动。广泛开展青少年科技创新大赛、青少年机器人竞赛、科普讲解大赛、科学实验展演等活动，不断激发青少年的科学兴趣，呵护青少年的科学好奇心，培养学生的实践能力和创新能力。</w:t>
      </w:r>
    </w:p>
    <w:p w14:paraId="71D75F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4.加强科技教师队伍建设。建立结构合理、素质优良的科技教师队伍，推动各中小学、中职学校至少配备一名专</w:t>
      </w:r>
      <w:r>
        <w:rPr>
          <w:rFonts w:hint="eastAsia" w:cs="Times New Roman"/>
          <w:sz w:val="32"/>
          <w:szCs w:val="32"/>
          <w:lang w:eastAsia="zh-CN"/>
        </w:rPr>
        <w:t>（</w:t>
      </w:r>
      <w:r>
        <w:rPr>
          <w:rFonts w:hint="default" w:ascii="Times New Roman" w:hAnsi="Times New Roman" w:cs="Times New Roman"/>
          <w:sz w:val="32"/>
          <w:szCs w:val="32"/>
        </w:rPr>
        <w:t>兼</w:t>
      </w:r>
      <w:r>
        <w:rPr>
          <w:rFonts w:hint="eastAsia" w:cs="Times New Roman"/>
          <w:sz w:val="32"/>
          <w:szCs w:val="32"/>
          <w:lang w:eastAsia="zh-CN"/>
        </w:rPr>
        <w:t>）</w:t>
      </w:r>
      <w:r>
        <w:rPr>
          <w:rFonts w:hint="default" w:ascii="Times New Roman" w:hAnsi="Times New Roman" w:cs="Times New Roman"/>
          <w:sz w:val="32"/>
          <w:szCs w:val="32"/>
        </w:rPr>
        <w:t>职科技教师，为学校实施科学教育工作提供师资保障。加大科技教师培训力度，深入开展“送培到基层”活动，每年完成科技教师培训300人次以上，其中农村牧区学校科技教师培训20人次以上。将学校科技教师承担的教学任务外的科技辅导任务计入工作量，列入绩效考核内容，并对科技教学和课外科技辅导取得优异成绩的科技教师在职称评定和评优评先等方面给予政策倾斜，切实强化科技教师保障，鼓励支持有关高校开设科学教育相关课程，培养专业人才。</w:t>
      </w:r>
    </w:p>
    <w:p w14:paraId="074552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（二）实施农民科学素质提升行动。</w:t>
      </w:r>
      <w:r>
        <w:rPr>
          <w:rFonts w:hint="default" w:ascii="Times New Roman" w:hAnsi="Times New Roman" w:cs="Times New Roman"/>
          <w:sz w:val="32"/>
          <w:szCs w:val="32"/>
        </w:rPr>
        <w:t>以提升科技文化素质为重点，推动农村科普资源不断丰富、科普公共服务能力和科普基础设施建设持续改善，提高农民文明生活、科学生产、科学经营能力，造就一支适应农业农村现代化发展要求的高素质农民队伍。充分利用互联网技术，加强农村科普信息化建设，助力脱贫攻坚与乡村振兴有效衔接。</w:t>
      </w:r>
    </w:p>
    <w:p w14:paraId="4BEB26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树立相信科学、和谐理性的思想观念。重点围绕保护生态环境、节约能源资源、绿色生产、食品安全、防灾减灾、卫生健康、移风易俗等，深入开展文化科技卫生“三下乡”、全国科普日、科技活动周等群众性、基础性、经常性的科普宣传教育活动。通过线上线下相结合的方式，推动科学技术普及，培育文明乡风，激发农牧民提升素质、振兴乡村的内生动力。</w:t>
      </w:r>
    </w:p>
    <w:p w14:paraId="06BD7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实施农民科技教育培训计划。围绕乡村振兴，结合新时代农牧民素质提升“千村示范、万村行动”工作，开展农村实用人才培训，实施农村创新创业带头人培育行动、乡村振兴本土人才培训计划等农业职业教育。突出开展农村妇女线上线下教育培训，通过开展“智爱妈妈”活动、举办农村妇女科学素质专题培训班，鼓励巾帼农牧业科技示范基地广泛开展培训，提升农村牧区妇女科学致富能力和科学文化素质。“十四五”期间，培训高素质农牧民2000人次。</w:t>
      </w:r>
    </w:p>
    <w:p w14:paraId="65867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开展乡村振兴科技支撑行动。着力打造一批科技名村、科技小院，示范引导更多科技要素下沉乡村。支持家庭农场、农民合作社、农业社会化服务组织等新型农业经营主体和服务主体通过建立示范基地、田间学校等方式开展科技示范，实现农户和现代农业有机衔接。深入推行科技特派员制度，引导农村专业技术协会等社会组织开展农业科技服务，引领现代农业发展。</w:t>
      </w:r>
    </w:p>
    <w:p w14:paraId="270058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4.健全农村科普公共服务体系。深入开展“百名专家走进盟市旗县科普传播行”“科技助力乡村振兴专家旗县行”活动，提高农民科技文化素质，持续巩固脱贫攻坚成果，增强内生发展动力。发挥“村村响”、农家（草原、科普）书屋、包头农牧APP作用，推动各类优质科普资源及内容在农村落地应用。</w:t>
      </w:r>
    </w:p>
    <w:p w14:paraId="6DC204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（三）实施产业工人科学素质提升行动。</w:t>
      </w:r>
      <w:r>
        <w:rPr>
          <w:rFonts w:hint="default" w:ascii="Times New Roman" w:hAnsi="Times New Roman" w:cs="Times New Roman"/>
          <w:sz w:val="32"/>
          <w:szCs w:val="32"/>
        </w:rPr>
        <w:t>大力弘扬劳模精神、劳动精神、工匠精神，以提升技能素质为重点，提高产业工人职业技能和创新能力，打造一支有理想守信念、懂技术会创新、敢担当讲奉献、守规章重安全的高素质产业工人队伍，推动建设“制造强市”“质量强市”。</w:t>
      </w:r>
    </w:p>
    <w:p w14:paraId="443BE7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1.开展理想信念和职业精神宣传教育。深入开展“中国梦·劳动美”“北疆工匠”等活动,大力弘扬劳模精神、劳动精神、工匠精神，营造劳动光荣的社会风尚、精益求精的敬业风气和勇于创新的文化氛围。</w:t>
      </w:r>
    </w:p>
    <w:p w14:paraId="07714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开展劳动和技能竞赛活动。围绕提升产业工人职业技能，开展劳动技能竞赛、创新方法大赛、青年创新大赛、技术大比武、创新创业大赛、巾帼创新创业大赛等多层级、多行业、多工种的职工劳动和技能竞赛，扩大竞赛覆盖面，激发职工创新热情，强化社会效应。组织开展“五小”（小发明、小创造、小革新、小设计、小建议）等群众性技术创新活动，推动大众创业、万众创新。</w:t>
      </w:r>
    </w:p>
    <w:p w14:paraId="5D727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开展职业技能提升行动。在职前教育和职业培训中进一步突出科学素质、安全生产等相关内容，构建职业教育、就业培训、技能提升相统一的产业工人终身技能形成体系。面向产业工人，开展订单、定岗、定向等多种形式的就业技能培训、岗位技能提升培训和创新创业培训。加大对重点行业领域高层次骨干专业技术人才培训力度，组织各类创新能力研修、提升班，“十四五”期间培训高层次创新人才300人次。整合各类职业教育资源，依托国家农民工职业技能提升计划、求学圆梦行动等，增加新生代农牧民工、大龄低技能农牧民工、进城务工人员等群体教育培训机会。</w:t>
      </w:r>
    </w:p>
    <w:p w14:paraId="50631C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4.发挥企业家提升产业工人科学素质的示范引领作用。弘扬企业家精神，提高企业家科学素质，引导企业家在爱国、创新、诚信、社会责任和国际视野等方面不断提升，做创新发展的探索者、组织者、引领者和提升产业工人科学素质的推动者。鼓励企业积极培养使用创新型技能人才，在关键岗位、关键工序培养使用高技能人才。发挥“科创中国”平台作用，探索建立企业科技创新和产业工人科学素质提升的双促进机制。推动相关互联网企业做好快递员、网约工、互联网营销师等群体科学素质提升工作。</w:t>
      </w:r>
    </w:p>
    <w:p w14:paraId="05A88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（四）实施老年人科学素质提升行动。</w:t>
      </w:r>
      <w:r>
        <w:rPr>
          <w:rFonts w:hint="default" w:ascii="Times New Roman" w:hAnsi="Times New Roman" w:cs="Times New Roman"/>
          <w:sz w:val="32"/>
          <w:szCs w:val="32"/>
        </w:rPr>
        <w:t>以提升信息素养和健康素养为重点，丰富老年人科普服务的供给内容、渠道途径、方式方法，稳步提升老年人适应社会发展能力，增强老年人获得感、幸福感、安全感，实现老有所乐、老有所学、老有所为。</w:t>
      </w:r>
    </w:p>
    <w:p w14:paraId="23BFC5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开展智慧助老行动。加强家庭、社区、社会协同，通过宣传教育、体验学习、尝试应用、互助帮扶等方式，提高老年人科学素养和信息素养。聚焦老年人运用智能技术就医、出行等融入智慧社会的实际需求和困难，充分发挥科普专家服务团、科技志愿服务队、科普信息员作用，依托老年大学、社区科普大学开设智能手机使用、智能就医、智能消费、智能金融等课程，普及智能技术知识和技能，提升老年人信息获取、识别和使用能力，增强老年人个人信息安全保护意识，有效预防和应对封建迷信、网络谣言、电信诈骗,帮助老年人融入现代社会、提高生活质量。</w:t>
      </w:r>
    </w:p>
    <w:p w14:paraId="70A9D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加强老年人健康科普服务。实施“健康包头”行动，推动老年人健康科普进社区、进乡村、进机构、进家庭，开展健康大讲堂、老年健康宣传周等活动，利用广播、电视、报刊、网络等各类媒体，普及合理膳食、食品安全、心理健康、体育锻炼、合理用药、应急处置等知识，丰富老年人精神文化生活。充分利用新时代文明实践中心（所、站）、党群服务中心等阵地为老年人提供健康科普服务，提高科普设施服务适老化程度，提供更多适老化科普线下服务。</w:t>
      </w:r>
    </w:p>
    <w:p w14:paraId="6DC7E0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实施银龄科普行动。开展满足老年人需求的形式多样、精准多元的科普活动。发展壮大老年志愿者队伍，吸纳优秀老专家加入科普专家队伍，开展科普报告、技术服务、健康咨询等形式的科普服务。发挥区全民科学素质工作领导小组各成员单位优势，开发老年人乐于接受的各种科普资源，增加科普供给，充分利用各类科普场馆开展老年人科普活动。</w:t>
      </w:r>
    </w:p>
    <w:p w14:paraId="318B76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（五）实施领导干部和公务员科学素质提升行动。</w:t>
      </w:r>
      <w:r>
        <w:rPr>
          <w:rFonts w:hint="default" w:ascii="Times New Roman" w:hAnsi="Times New Roman" w:cs="Times New Roman"/>
          <w:sz w:val="32"/>
          <w:szCs w:val="32"/>
        </w:rPr>
        <w:t>进一步强化领导干部和公务员对科教兴国、人才强国、创新驱动发展、产业转型升级等的认识，树立科学精神，掌握科学方法，增强科学决策能力，在提升公民科学素质中发挥示范引领作用。</w:t>
      </w:r>
    </w:p>
    <w:p w14:paraId="461772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深入贯彻落实新发展理念。全面落实习近平总书记对内蒙古重要讲话重要指示批示精神，完整、准确、全面贯彻新发展理念，切实找准将新发展理念转化为实践的切入点、结合点和着力点，提高领导干部和公务员科学履职水平，强化对科学素质建设重要性和紧迫性的认识。加强前沿科技知识和全球科技发展趋势学习，突出科学精神、科学思想培养，增强把握科学发展规律的能力。</w:t>
      </w:r>
    </w:p>
    <w:p w14:paraId="51A96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加强科学素质教育培训。认真贯彻落实《干部教育培训工作条例》《公务员培训规定》，加强领导干部和公务员科学素质教育培训。创新科学素质教育培训渠道和载体，充分利用“学习强国”等平台，打造领导干部和公务员提升科学素质的“身边课堂”。充分发挥区委党校等阵地作用，将科学素质教育培训列入教学计划。有针对性地举办科普报告会和专题科普讲座，引导和帮助领导干部和公务员强化科学思维，提高科学治理能力，提高应对重大突发公共安全事件的科学决策能力。</w:t>
      </w:r>
    </w:p>
    <w:p w14:paraId="036454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（六）实施科技资源科普化工程。</w:t>
      </w:r>
      <w:r>
        <w:rPr>
          <w:rFonts w:hint="default" w:ascii="Times New Roman" w:hAnsi="Times New Roman" w:cs="Times New Roman"/>
          <w:sz w:val="32"/>
          <w:szCs w:val="32"/>
        </w:rPr>
        <w:t>建立完善科技资源科普化机制，不断增强全区科技创新主体的责任意识，充分开发科技设施的科普功能，提升科技工作者科普能力。</w:t>
      </w:r>
    </w:p>
    <w:p w14:paraId="1E1AB1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建立完善科技资源科普化机制。不断增强全区科技创新主体科普责任意识，充分开发科技设施的科普功能，引导高校、科研院所、科技创新企业和社会研发组织等科技资源主体参与科技资源共建共享，融合拓宽科技资源科普化渠道，将科普工作纳入相关科技创新基地考核，引导企业和社会组织建立有效的科技资源科普化机制。</w:t>
      </w:r>
    </w:p>
    <w:p w14:paraId="4DB125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有效发挥科技设施科普化功能。推动高等院校、科研机构、工程中心（实验室）、高新技术企业等在科技活动周暨科普活动宣传周、科技工作者日、全国科普日等时间节点向公众开放实验室等科技类设施，利用科技资源开展科普工作。引导支持园区、企业建设特色产业展示馆，不断提升企业科普服务职能。</w:t>
      </w:r>
    </w:p>
    <w:p w14:paraId="6374E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强化科技工作者的科普责任。引导广大科技工作者以提高全民科学素质为己任，把普及科学知识、弘扬科学精神、传播科学思想、倡导科学方法作为义不容辞的责任。推动科学技术奖获得者向公众解读、宣传、推广科技成果。鼓励更多科技工作者通过宣传教育、能力培训、榜样示范等增强科普能力，针对社会热点、焦点问题，主动、及时、准确发声，营造科学理性的社会氛围。深入开展科学道德和学风建设宣讲活动，引导广大科技工作者坚守社会责任，自立自强，建功立业，成为践行科学家精神的表率。</w:t>
      </w:r>
    </w:p>
    <w:p w14:paraId="08AFEB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（七）实施科普信息化提升工程。</w:t>
      </w:r>
      <w:r>
        <w:rPr>
          <w:rFonts w:hint="default" w:ascii="Times New Roman" w:hAnsi="Times New Roman" w:cs="Times New Roman"/>
          <w:sz w:val="32"/>
          <w:szCs w:val="32"/>
        </w:rPr>
        <w:t>加强科普资源开发和整合，提升优质科普内容资源创作和传播能力，多渠道推进数字科普建设，推动传统媒体与新媒体深度融合，建设即时、泛在、精准的信息化全媒体传播网络，服务数字社会建设。</w:t>
      </w:r>
    </w:p>
    <w:p w14:paraId="17B607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实施“互联网+科普”行动。推进科普与大数据、云计算、人工智能、区块链等技术深度融合,将科普融入智慧城市、智慧社区。加强“科普中国”优质资源推广应用,推动各类科普资源平台与“科普中国”资源深度对接,提升智慧科普传播能力。</w:t>
      </w:r>
    </w:p>
    <w:p w14:paraId="713278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提升全媒体科普传播。充分发挥报纸、电台、电视台、网站等媒体平台及微博、微信、抖音、快手等第三方网络平台作用，鼓励公共交通、户外电子屏、楼宇电视等各类媒介增加科学传播公益广告内容，实现科普内容多渠道全媒体传播。</w:t>
      </w:r>
    </w:p>
    <w:p w14:paraId="347D96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3.推动优质科普信息落地应用。加强“科普中国”品牌及应用宣传。积极推动“科普中国”落地应用，实现注册人数和传播量持续增长，“十四五”末，“科普中国”APP科普信息员注册人数达到2.5万人以上。</w:t>
      </w:r>
    </w:p>
    <w:p w14:paraId="64DC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（八）实施科普基础设施建设工程。</w:t>
      </w:r>
      <w:r>
        <w:rPr>
          <w:rFonts w:hint="default" w:ascii="Times New Roman" w:hAnsi="Times New Roman" w:cs="Times New Roman"/>
          <w:sz w:val="32"/>
          <w:szCs w:val="32"/>
        </w:rPr>
        <w:t>建立政府引导、多元兴办、多渠道投入的科普基础设施建设机制,完善科普基础设施布局,优化科普基础设施结构,实现资源合理配置和服务均衡化、广覆盖。</w:t>
      </w:r>
    </w:p>
    <w:p w14:paraId="3CAD3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优化科普设施布局。加强科普基础设施发展顶层设计和合理规划，支持兴办更多公益性科普基础设施，调动社会力量参与科普基础设施建设，鼓励街道（镇）和社区（农村）建设具有科普教育功能的综合服务设施，在新建及现有的基层服务中心拓展科普功能。推动将科普设施建设纳入新时代文明实践中心、党群服务中心。</w:t>
      </w:r>
    </w:p>
    <w:p w14:paraId="1F87A5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2.加强科普教育阵地建设。鼓励卫生健康、食品药品、应急管理、等行业部门建立专业科普教育、研学基地。加强各类科普教育基地之间交流协作，以市场化机制调动社会力量，形成具有独特性的科普研学资源。</w:t>
      </w:r>
    </w:p>
    <w:p w14:paraId="17C49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（九）实施基层科普能力提升工程。</w:t>
      </w:r>
      <w:r>
        <w:rPr>
          <w:rFonts w:hint="default" w:ascii="Times New Roman" w:hAnsi="Times New Roman" w:cs="Times New Roman"/>
          <w:sz w:val="32"/>
          <w:szCs w:val="32"/>
        </w:rPr>
        <w:t>加强基层科普服务体系和科普队伍建设,逐步提升基层科普工作能力。建立健全应急科普协调联动机制,基本建成平战结合应急科普体系。</w:t>
      </w:r>
    </w:p>
    <w:p w14:paraId="10BD24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健全基层科普服务体系。进一步推进全域科普工作，推动科普服务向基层延伸。深入实施基层科普行动计划，以项目引领基层科普服务能力提升。构建以新时代文明实践中心、党群服务中心、社区服务中心（站）等为阵地，以志愿服务为重要手段的基层科普服务体系。充分发挥科研院所、科技社团等科技机构的作用，发展壮大科普专家团队，发挥“三长”人员（医院院长、学校校长、农技站站长）的专业优势，引领带动中小学自然科学类教师、农业技术人员、医疗卫生人员等基层一线科技工作者参与科技志愿服务。</w:t>
      </w:r>
    </w:p>
    <w:p w14:paraId="26A3CD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建立应急科普宣教协同机制。探索建立区级应急科普工作联动协调机制，按照突发事件不同类型，协调推进部门间应急科普宣教工作。在日常科普中融入应急理念和知识，利用防灾减灾日、气象日、消防日、安全生产月等时间节点，积极开展知识宣讲、技能培训、案例解读、应急演练等多种形式的应急科普宣教活动，及时做好政策解读、知识普及、舆情引导等工作。完善应急科普基础设施，建设消防安全科普馆、气象科普馆等应急科普宣教场馆，推动科技场馆、教育基地等设立应急科普宣教专区。</w:t>
      </w:r>
    </w:p>
    <w:p w14:paraId="3F780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广泛开展群众性科普活动。围绕生态文明建设、生物多样性、安全健康、心理健康、创新创造等主题，深入开展全国科普日、科技活动周、双创活动周等综合性科普品牌活动，坚持开展防灾减灾日、食品安全宣传周、安全生产月、公众科学日、世界环境日、世界气象日、中国航天日、世界地球日、世界粮食日、全国土地日、国家版图意识宣传周、爱国卫生运动等主题科普活动，增进公众对科技发展的了解和支持。动员各级各类科协组织、科技场馆、科普教育基地、大中小学校、企业、科研机构、社区等社会各界和广大科技工作者，采取走出去、请进来等多种方式，面向学校、社区、农村、企业等广泛开展贴近生产生活的主题性、群众性科普活动。</w:t>
      </w:r>
    </w:p>
    <w:p w14:paraId="5471DF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（十）实施科普资源开发工程。</w:t>
      </w:r>
      <w:r>
        <w:rPr>
          <w:rFonts w:hint="default" w:ascii="Times New Roman" w:hAnsi="Times New Roman" w:cs="Times New Roman"/>
          <w:sz w:val="32"/>
          <w:szCs w:val="32"/>
        </w:rPr>
        <w:t>落实科普资源开发工程的任务和要求，引导、鼓励和支持科普人才培养、科普创作和科普文化产业，联动上三级科普资源，建立科普信息资源共享和交流平台，为社会和公众提供公共科普服务。</w:t>
      </w:r>
    </w:p>
    <w:p w14:paraId="287342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加强科普人才培养。落实国家、自治区和我市中长期科技、教育、人才发展规划纲要，将科普人才发展纳入各级各类各行业人才发展规划。加强科普人才培养，加大面向各领域各层次科普人才的培训力度。利用“科创中国”“赛创未来”“西安交大”等对外交流平台，促进我区科普人才与相关国家科技人文交流和资源共享。</w:t>
      </w:r>
    </w:p>
    <w:p w14:paraId="33AF5A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繁荣科普创作。加大对优秀原创科普作品的扶持奖励力度，吸引和鼓励社会各界参与科普作品创作。支持面向世界科技前沿、面向经济主战场、面向国家重大需求、面向人民生命健康等重大题材开展科普创作。支持围绕重点人群，开发一批针对性强的科普资源。支持开发动漫、短视频、游戏等多种形式科普作品。</w:t>
      </w:r>
    </w:p>
    <w:p w14:paraId="4601E2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发展科普文化产业。推动科普展览、科技教育、科普展教、科普影视、科普书刊、科普音像电子出版物、科普玩具、科普旅游、科普网络与信息等科普产业的发展，培育一批具有一定实力和规模的科普创意设计、科普自媒体、科普文旅、科普研学、产品研发、展示展览、科普服务等特色市场主体。充分运用市场手段，让科普文化产业成为新的经济增长点，实现科普文化+产业经济的融合发展。</w:t>
      </w:r>
    </w:p>
    <w:p w14:paraId="57832C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三、进度安排</w:t>
      </w:r>
    </w:p>
    <w:p w14:paraId="2A6A26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（一）启动实施。</w:t>
      </w:r>
      <w:r>
        <w:rPr>
          <w:rFonts w:hint="default" w:ascii="Times New Roman" w:hAnsi="Times New Roman" w:cs="Times New Roman"/>
          <w:sz w:val="32"/>
          <w:szCs w:val="32"/>
        </w:rPr>
        <w:t>2021年至2022年，</w:t>
      </w:r>
      <w:r>
        <w:rPr>
          <w:rFonts w:hint="eastAsia" w:cs="Times New Roman"/>
          <w:sz w:val="32"/>
          <w:szCs w:val="32"/>
          <w:lang w:eastAsia="zh-CN"/>
        </w:rPr>
        <w:t>起草</w:t>
      </w:r>
      <w:r>
        <w:rPr>
          <w:rFonts w:hint="default" w:ascii="Times New Roman" w:hAnsi="Times New Roman" w:cs="Times New Roman"/>
          <w:sz w:val="32"/>
          <w:szCs w:val="32"/>
        </w:rPr>
        <w:t>《昆都仑区全民科学素质行动规划纲要实施方案</w:t>
      </w:r>
      <w:r>
        <w:rPr>
          <w:rFonts w:hint="eastAsia" w:cs="Times New Roman"/>
          <w:sz w:val="32"/>
          <w:szCs w:val="32"/>
          <w:lang w:eastAsia="zh-CN"/>
        </w:rPr>
        <w:t>（</w:t>
      </w:r>
      <w:r>
        <w:rPr>
          <w:rFonts w:hint="default" w:ascii="Times New Roman" w:hAnsi="Times New Roman" w:cs="Times New Roman"/>
          <w:sz w:val="32"/>
          <w:szCs w:val="32"/>
        </w:rPr>
        <w:t>2021</w:t>
      </w:r>
      <w:r>
        <w:rPr>
          <w:rFonts w:hint="eastAsia" w:cs="Times New Roman"/>
          <w:sz w:val="32"/>
          <w:szCs w:val="32"/>
          <w:lang w:eastAsia="zh-CN"/>
        </w:rPr>
        <w:t>—</w:t>
      </w:r>
      <w:r>
        <w:rPr>
          <w:rFonts w:hint="default" w:ascii="Times New Roman" w:hAnsi="Times New Roman" w:cs="Times New Roman"/>
          <w:sz w:val="32"/>
          <w:szCs w:val="32"/>
        </w:rPr>
        <w:t>2025年</w:t>
      </w:r>
      <w:r>
        <w:rPr>
          <w:rFonts w:hint="eastAsia" w:cs="Times New Roman"/>
          <w:sz w:val="32"/>
          <w:szCs w:val="32"/>
          <w:lang w:eastAsia="zh-CN"/>
        </w:rPr>
        <w:t>）</w:t>
      </w:r>
      <w:r>
        <w:rPr>
          <w:rFonts w:hint="default" w:ascii="Times New Roman" w:hAnsi="Times New Roman" w:cs="Times New Roman"/>
          <w:sz w:val="32"/>
          <w:szCs w:val="32"/>
        </w:rPr>
        <w:t>》，做好全民科学素质行动规划纲要实施动员宣传，并启动实施工作。</w:t>
      </w:r>
    </w:p>
    <w:p w14:paraId="428BD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（二）深入推进。</w:t>
      </w:r>
      <w:r>
        <w:rPr>
          <w:rFonts w:hint="default" w:ascii="Times New Roman" w:hAnsi="Times New Roman" w:cs="Times New Roman"/>
          <w:sz w:val="32"/>
          <w:szCs w:val="32"/>
        </w:rPr>
        <w:t>2023年至2025年，不断完善工作机制，查找工作实际存在的薄弱环节和短板，制定针对性措施，解决突出问题，全面推动各项重点工作和目标任务落实落地。</w:t>
      </w:r>
    </w:p>
    <w:p w14:paraId="37E3C4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（三）总结评估。</w:t>
      </w:r>
      <w:r>
        <w:rPr>
          <w:rFonts w:hint="default" w:ascii="Times New Roman" w:hAnsi="Times New Roman" w:cs="Times New Roman"/>
          <w:sz w:val="32"/>
          <w:szCs w:val="32"/>
        </w:rPr>
        <w:t>2025年，在区全民科学素质工作领导小组各成员单位自查基础上，组织开展全民科学素质工作实施情况的督促检查和专题调研，对工作情况进行全面总结和评估。</w:t>
      </w:r>
    </w:p>
    <w:p w14:paraId="3EA47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四、组织实施</w:t>
      </w:r>
    </w:p>
    <w:p w14:paraId="69044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（一）加强组织领导。</w:t>
      </w:r>
      <w:r>
        <w:rPr>
          <w:rFonts w:hint="default" w:ascii="Times New Roman" w:hAnsi="Times New Roman" w:cs="Times New Roman"/>
          <w:sz w:val="32"/>
          <w:szCs w:val="32"/>
        </w:rPr>
        <w:t>各成员单位负责本单位科学素质纲要实施工作，建立完善科学素质纲要实施协调机制，加强对实施工作的督促检查。把科学素质建设作为经济社会发展的一项重要任务，纳入本区域总体规划，列入年度工作计划，纳入目标管理考核，各部门将科普任务纳入本部门本系统的工作规划和计划，充分履行工作职责。</w:t>
      </w:r>
    </w:p>
    <w:p w14:paraId="7890F6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（二）完善保障机制。</w:t>
      </w:r>
      <w:r>
        <w:rPr>
          <w:rFonts w:hint="default" w:ascii="Times New Roman" w:hAnsi="Times New Roman" w:cs="Times New Roman"/>
          <w:sz w:val="32"/>
          <w:szCs w:val="32"/>
        </w:rPr>
        <w:t>健全完善纲要实施协作机制。各有关部门、单位间要加强联合协作、工作研究、经验交流以及平台资源的共建共享,开展专项科学素质提升行动,不断提高科学素质纲要实施工作效能，构建大联合、大协作的全民科学素质工作格局。</w:t>
      </w:r>
    </w:p>
    <w:p w14:paraId="3AB2E9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eastAsia" w:ascii="楷体_GB2312" w:hAnsi="楷体_GB2312" w:eastAsia="楷体_GB2312" w:cs="楷体_GB2312"/>
          <w:sz w:val="32"/>
          <w:szCs w:val="32"/>
        </w:rPr>
        <w:t>（三）强化监督评估。</w:t>
      </w:r>
      <w:r>
        <w:rPr>
          <w:rFonts w:hint="default" w:ascii="Times New Roman" w:hAnsi="Times New Roman" w:cs="Times New Roman"/>
          <w:sz w:val="32"/>
          <w:szCs w:val="32"/>
        </w:rPr>
        <w:t>建立纲要实施监督评估机制，实行定期调度和跟踪问效，加强对纲要实施工作全过程的动态管理和督促检查。组织开展中期自查评估，及时总结经验，解决实际工作中暴露的薄弱环节和突出问题,推进各项目标任务落实落地。</w:t>
      </w:r>
    </w:p>
    <w:p w14:paraId="52B0C099">
      <w:pPr>
        <w:rPr>
          <w:rFonts w:hint="default" w:ascii="Times New Roman" w:hAnsi="Times New Roman" w:cs="Times New Roman"/>
          <w:sz w:val="32"/>
          <w:szCs w:val="32"/>
        </w:rPr>
        <w:sectPr>
          <w:footerReference r:id="rId3" w:type="default"/>
          <w:pgSz w:w="11906" w:h="16838"/>
          <w:pgMar w:top="1417" w:right="1417" w:bottom="1417" w:left="1417" w:header="851" w:footer="992" w:gutter="0"/>
          <w:cols w:space="425" w:num="1"/>
          <w:titlePg/>
          <w:docGrid w:type="lines" w:linePitch="312" w:charSpace="0"/>
        </w:sectPr>
      </w:pPr>
    </w:p>
    <w:p w14:paraId="1CF36B88">
      <w:pPr>
        <w:pStyle w:val="2"/>
        <w:rPr>
          <w:rFonts w:hint="default"/>
        </w:rPr>
      </w:pPr>
    </w:p>
    <w:p w14:paraId="5BFDB0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3FA1E9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昆都仑区全民科学素质行动规划纲要实施方案责任清单</w:t>
      </w:r>
    </w:p>
    <w:p w14:paraId="45CDC175">
      <w:pPr>
        <w:pStyle w:val="2"/>
        <w:rPr>
          <w:rFonts w:hint="eastAsia"/>
          <w:lang w:val="en-US" w:eastAsia="zh-CN"/>
        </w:rPr>
      </w:pPr>
    </w:p>
    <w:p w14:paraId="32685931">
      <w:pPr>
        <w:pStyle w:val="2"/>
        <w:rPr>
          <w:rFonts w:hint="default"/>
          <w:lang w:val="en-US" w:eastAsia="zh-CN"/>
        </w:rPr>
      </w:pPr>
    </w:p>
    <w:tbl>
      <w:tblPr>
        <w:tblStyle w:val="4"/>
        <w:tblW w:w="15832"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375"/>
        <w:gridCol w:w="1429"/>
        <w:gridCol w:w="9049"/>
        <w:gridCol w:w="1350"/>
        <w:gridCol w:w="2058"/>
      </w:tblGrid>
      <w:tr w14:paraId="2E0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71" w:type="dxa"/>
            <w:noWrap w:val="0"/>
            <w:vAlign w:val="center"/>
          </w:tcPr>
          <w:p w14:paraId="06681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388AD2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eastAsia="黑体" w:cs="黑体"/>
                <w:kern w:val="2"/>
                <w:sz w:val="28"/>
                <w:szCs w:val="28"/>
                <w:vertAlign w:val="baseline"/>
                <w:lang w:val="en-US" w:eastAsia="zh-CN" w:bidi="ar-SA"/>
              </w:rPr>
              <w:t>五大工程五大行动</w:t>
            </w:r>
          </w:p>
        </w:tc>
        <w:tc>
          <w:tcPr>
            <w:tcW w:w="1429" w:type="dxa"/>
            <w:noWrap w:val="0"/>
            <w:vAlign w:val="center"/>
          </w:tcPr>
          <w:p w14:paraId="7C6297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68026B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551EFF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298AC9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6D54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571" w:type="dxa"/>
            <w:noWrap w:val="0"/>
            <w:vAlign w:val="center"/>
          </w:tcPr>
          <w:p w14:paraId="0B6C86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i w:val="0"/>
                <w:caps w:val="0"/>
                <w:color w:val="333333"/>
                <w:spacing w:val="0"/>
                <w:sz w:val="28"/>
                <w:szCs w:val="28"/>
                <w:shd w:val="clear" w:color="auto" w:fill="FFFFFF"/>
                <w:lang w:val="en-US" w:eastAsia="zh-CN"/>
              </w:rPr>
            </w:pPr>
            <w:r>
              <w:rPr>
                <w:rFonts w:hint="eastAsia" w:ascii="Times New Roman" w:hAnsi="Times New Roman" w:eastAsia="仿宋_GB2312" w:cs="仿宋_GB2312"/>
                <w:b w:val="0"/>
                <w:bCs w:val="0"/>
                <w:i w:val="0"/>
                <w:caps w:val="0"/>
                <w:color w:val="333333"/>
                <w:spacing w:val="0"/>
                <w:sz w:val="28"/>
                <w:szCs w:val="28"/>
                <w:shd w:val="clear" w:color="auto" w:fill="FFFFFF"/>
                <w:lang w:val="en-US" w:eastAsia="zh-CN"/>
              </w:rPr>
              <w:t>1</w:t>
            </w:r>
          </w:p>
        </w:tc>
        <w:tc>
          <w:tcPr>
            <w:tcW w:w="1375" w:type="dxa"/>
            <w:vMerge w:val="restart"/>
            <w:noWrap w:val="0"/>
            <w:vAlign w:val="center"/>
          </w:tcPr>
          <w:p w14:paraId="0EF6C0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仿宋_GB2312"/>
                <w:b/>
                <w:bCs/>
                <w:i w:val="0"/>
                <w:caps w:val="0"/>
                <w:color w:val="333333"/>
                <w:spacing w:val="0"/>
                <w:sz w:val="28"/>
                <w:szCs w:val="28"/>
                <w:shd w:val="clear" w:color="auto" w:fill="FFFFFF"/>
              </w:rPr>
              <w:t>青少年科学素质提升行动</w:t>
            </w:r>
          </w:p>
        </w:tc>
        <w:tc>
          <w:tcPr>
            <w:tcW w:w="1429" w:type="dxa"/>
            <w:noWrap w:val="0"/>
            <w:vAlign w:val="center"/>
          </w:tcPr>
          <w:p w14:paraId="48F79D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仿宋_GB2312"/>
                <w:b w:val="0"/>
                <w:bCs w:val="0"/>
                <w:i w:val="0"/>
                <w:caps w:val="0"/>
                <w:color w:val="333333"/>
                <w:spacing w:val="0"/>
                <w:sz w:val="28"/>
                <w:szCs w:val="28"/>
                <w:shd w:val="clear" w:color="auto" w:fill="FFFFFF"/>
                <w:lang w:val="en-US" w:eastAsia="zh-CN"/>
              </w:rPr>
              <w:t>1</w:t>
            </w:r>
            <w:r>
              <w:rPr>
                <w:rFonts w:hint="default" w:ascii="Times New Roman" w:hAnsi="Times New Roman" w:eastAsia="仿宋_GB2312" w:cs="Times New Roman"/>
                <w:color w:val="000000"/>
                <w:sz w:val="28"/>
                <w:szCs w:val="28"/>
                <w:lang w:val="en-US" w:eastAsia="zh-CN"/>
              </w:rPr>
              <w:t>.将</w:t>
            </w:r>
            <w:r>
              <w:rPr>
                <w:rFonts w:hint="eastAsia" w:ascii="Times New Roman" w:hAnsi="Times New Roman" w:eastAsia="仿宋_GB2312" w:cs="Times New Roman"/>
                <w:color w:val="000000"/>
                <w:sz w:val="28"/>
                <w:szCs w:val="28"/>
                <w:lang w:val="en-US" w:eastAsia="zh-CN"/>
              </w:rPr>
              <w:t>弘扬科学精神贯穿于育人全链条</w:t>
            </w:r>
          </w:p>
        </w:tc>
        <w:tc>
          <w:tcPr>
            <w:tcW w:w="9049" w:type="dxa"/>
            <w:noWrap w:val="0"/>
            <w:vAlign w:val="center"/>
          </w:tcPr>
          <w:p w14:paraId="64E1405F">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实施科学家精神进校园行动，将科学精神融入课堂教学和课外实践活动，持续开展中</w:t>
            </w:r>
            <w:r>
              <w:rPr>
                <w:rFonts w:hint="eastAsia" w:cs="Times New Roman"/>
                <w:color w:val="000000"/>
                <w:sz w:val="28"/>
                <w:szCs w:val="28"/>
                <w:lang w:val="en-US" w:eastAsia="zh-CN"/>
              </w:rPr>
              <w:t>国</w:t>
            </w:r>
            <w:r>
              <w:rPr>
                <w:rFonts w:hint="default" w:ascii="Times New Roman" w:hAnsi="Times New Roman" w:eastAsia="仿宋_GB2312" w:cs="Times New Roman"/>
                <w:color w:val="000000"/>
                <w:sz w:val="28"/>
                <w:szCs w:val="28"/>
                <w:lang w:val="en-US" w:eastAsia="zh-CN"/>
              </w:rPr>
              <w:t>科</w:t>
            </w:r>
            <w:r>
              <w:rPr>
                <w:rFonts w:hint="eastAsia" w:cs="Times New Roman"/>
                <w:color w:val="000000"/>
                <w:sz w:val="28"/>
                <w:szCs w:val="28"/>
                <w:lang w:val="en-US" w:eastAsia="zh-CN"/>
              </w:rPr>
              <w:t>学</w:t>
            </w:r>
            <w:bookmarkStart w:id="0" w:name="_GoBack"/>
            <w:bookmarkEnd w:id="0"/>
            <w:r>
              <w:rPr>
                <w:rFonts w:hint="default" w:ascii="Times New Roman" w:hAnsi="Times New Roman" w:eastAsia="仿宋_GB2312" w:cs="Times New Roman"/>
                <w:color w:val="000000"/>
                <w:sz w:val="28"/>
                <w:szCs w:val="28"/>
                <w:lang w:val="en-US" w:eastAsia="zh-CN"/>
              </w:rPr>
              <w:t>院、清华大学老科学家科普校园行</w:t>
            </w:r>
            <w:r>
              <w:rPr>
                <w:rFonts w:hint="default" w:ascii="Times New Roman" w:hAnsi="Times New Roman" w:eastAsia="仿宋_GB2312" w:cs="Times New Roman"/>
                <w:color w:val="000000"/>
                <w:sz w:val="28"/>
                <w:szCs w:val="28"/>
                <w:lang w:eastAsia="zh-CN"/>
              </w:rPr>
              <w:t>等</w:t>
            </w:r>
            <w:r>
              <w:rPr>
                <w:rFonts w:hint="default" w:ascii="Times New Roman" w:hAnsi="Times New Roman" w:eastAsia="仿宋_GB2312" w:cs="Times New Roman"/>
                <w:color w:val="000000"/>
                <w:sz w:val="28"/>
                <w:szCs w:val="28"/>
                <w:lang w:val="en-US" w:eastAsia="zh-CN"/>
              </w:rPr>
              <w:t>活动。</w:t>
            </w:r>
          </w:p>
        </w:tc>
        <w:tc>
          <w:tcPr>
            <w:tcW w:w="1350" w:type="dxa"/>
            <w:vMerge w:val="restart"/>
            <w:noWrap w:val="0"/>
            <w:vAlign w:val="center"/>
          </w:tcPr>
          <w:p w14:paraId="1AF3ADE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教育</w:t>
            </w:r>
            <w:r>
              <w:rPr>
                <w:rFonts w:hint="default" w:ascii="Times New Roman" w:hAnsi="Times New Roman" w:eastAsia="仿宋_GB2312" w:cs="Times New Roman"/>
                <w:color w:val="000000"/>
                <w:sz w:val="28"/>
                <w:szCs w:val="28"/>
                <w:lang w:val="en-US" w:eastAsia="zh-CN"/>
              </w:rPr>
              <w:t>局</w:t>
            </w:r>
          </w:p>
        </w:tc>
        <w:tc>
          <w:tcPr>
            <w:tcW w:w="2058" w:type="dxa"/>
            <w:noWrap w:val="0"/>
            <w:vAlign w:val="center"/>
          </w:tcPr>
          <w:p w14:paraId="1AB21B02">
            <w:pPr>
              <w:keepNext w:val="0"/>
              <w:keepLines w:val="0"/>
              <w:pageBreakBefore w:val="0"/>
              <w:widowControl w:val="0"/>
              <w:kinsoku/>
              <w:wordWrap/>
              <w:overflowPunct/>
              <w:topLinePunct w:val="0"/>
              <w:autoSpaceDE/>
              <w:autoSpaceDN/>
              <w:bidi w:val="0"/>
              <w:adjustRightInd/>
              <w:snapToGrid/>
              <w:spacing w:line="340" w:lineRule="exact"/>
              <w:ind w:right="20" w:rightChars="6"/>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sz w:val="28"/>
                <w:szCs w:val="28"/>
                <w:lang w:val="en-US" w:eastAsia="zh-CN"/>
              </w:rPr>
              <w:t>科协</w:t>
            </w:r>
          </w:p>
        </w:tc>
      </w:tr>
      <w:tr w14:paraId="5792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571" w:type="dxa"/>
            <w:noWrap w:val="0"/>
            <w:vAlign w:val="center"/>
          </w:tcPr>
          <w:p w14:paraId="454518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2</w:t>
            </w:r>
          </w:p>
        </w:tc>
        <w:tc>
          <w:tcPr>
            <w:tcW w:w="1375" w:type="dxa"/>
            <w:vMerge w:val="continue"/>
            <w:noWrap w:val="0"/>
            <w:vAlign w:val="center"/>
          </w:tcPr>
          <w:p w14:paraId="0D3A185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p>
        </w:tc>
        <w:tc>
          <w:tcPr>
            <w:tcW w:w="1429" w:type="dxa"/>
            <w:noWrap w:val="0"/>
            <w:vAlign w:val="center"/>
          </w:tcPr>
          <w:p w14:paraId="18415EB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r>
              <w:rPr>
                <w:rFonts w:hint="eastAsia" w:eastAsia="仿宋_GB2312" w:cs="仿宋_GB2312"/>
                <w:b w:val="0"/>
                <w:bCs w:val="0"/>
                <w:sz w:val="28"/>
                <w:szCs w:val="28"/>
                <w:vertAlign w:val="baseline"/>
                <w:lang w:val="en-US" w:eastAsia="zh-CN"/>
              </w:rPr>
              <w:t>2</w:t>
            </w:r>
            <w:r>
              <w:rPr>
                <w:rFonts w:hint="default" w:ascii="Times New Roman" w:hAnsi="Times New Roman" w:eastAsia="仿宋_GB2312" w:cs="Times New Roman"/>
                <w:color w:val="000000"/>
                <w:sz w:val="28"/>
                <w:szCs w:val="28"/>
                <w:lang w:val="en-US" w:eastAsia="zh-CN"/>
              </w:rPr>
              <w:t>.建立校内外科学教育联动机制</w:t>
            </w:r>
          </w:p>
        </w:tc>
        <w:tc>
          <w:tcPr>
            <w:tcW w:w="9049" w:type="dxa"/>
            <w:noWrap w:val="0"/>
            <w:vAlign w:val="center"/>
          </w:tcPr>
          <w:p w14:paraId="109E0E32">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鼓励科学家、工程师、医疗卫生专家等科技工作者走进校园，开展科学教育、生态文明教育活动。学校每学期举办科普讲座数量不少于4次，参与科普活动的在校学生人数应达到90%以上。通过实施馆校合作，建立健全中小学校科学教育与科技场馆等相衔接的有效机制，引导中小学充分利用市区两级科技馆、校园科技馆、博物馆、科普教育基地等场所广泛开展各类学习实践活动。推动科普大篷车、青少年科学工作室、青少年创客活动室等青少年主题活动进校园。加强对家庭科学教育的指导，提高家长科学教育意识和能力。加强学龄前儿童科学启蒙教育，开展科</w:t>
            </w:r>
            <w:r>
              <w:rPr>
                <w:rFonts w:hint="default" w:eastAsia="仿宋_GB2312" w:cs="Times New Roman"/>
                <w:color w:val="000000"/>
                <w:sz w:val="28"/>
                <w:szCs w:val="28"/>
                <w:lang w:eastAsia="zh-CN"/>
              </w:rPr>
              <w:t>技</w:t>
            </w:r>
            <w:r>
              <w:rPr>
                <w:rFonts w:hint="eastAsia" w:ascii="Times New Roman" w:hAnsi="Times New Roman" w:eastAsia="仿宋_GB2312" w:cs="Times New Roman"/>
                <w:color w:val="000000"/>
                <w:sz w:val="28"/>
                <w:szCs w:val="28"/>
                <w:lang w:val="en-US" w:eastAsia="zh-CN"/>
              </w:rPr>
              <w:t>教育类亲子体验活动，推动学校、社会和家庭协同育人。</w:t>
            </w:r>
          </w:p>
        </w:tc>
        <w:tc>
          <w:tcPr>
            <w:tcW w:w="1350" w:type="dxa"/>
            <w:vMerge w:val="continue"/>
            <w:noWrap w:val="0"/>
            <w:vAlign w:val="center"/>
          </w:tcPr>
          <w:p w14:paraId="5BF0F5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2250DBB8">
            <w:pPr>
              <w:keepNext w:val="0"/>
              <w:keepLines w:val="0"/>
              <w:pageBreakBefore w:val="0"/>
              <w:widowControl w:val="0"/>
              <w:kinsoku/>
              <w:wordWrap/>
              <w:overflowPunct/>
              <w:topLinePunct w:val="0"/>
              <w:autoSpaceDE/>
              <w:autoSpaceDN/>
              <w:bidi w:val="0"/>
              <w:adjustRightInd/>
              <w:snapToGrid/>
              <w:spacing w:line="340" w:lineRule="exact"/>
              <w:ind w:right="20" w:rightChars="6"/>
              <w:jc w:val="left"/>
              <w:textAlignment w:val="auto"/>
              <w:rPr>
                <w:rFonts w:hint="eastAsia" w:ascii="Times New Roman" w:hAnsi="Times New Roman" w:eastAsia="仿宋_GB2312" w:cs="仿宋_GB2312"/>
                <w:sz w:val="28"/>
                <w:szCs w:val="28"/>
                <w:lang w:val="en-US" w:eastAsia="zh-CN"/>
              </w:rPr>
            </w:pPr>
            <w:r>
              <w:rPr>
                <w:rFonts w:hint="eastAsia" w:eastAsia="仿宋_GB2312" w:cs="仿宋_GB2312"/>
                <w:sz w:val="28"/>
                <w:szCs w:val="28"/>
                <w:lang w:val="en-US" w:eastAsia="zh-CN"/>
              </w:rPr>
              <w:t>区科技</w:t>
            </w:r>
            <w:r>
              <w:rPr>
                <w:rFonts w:hint="eastAsia" w:ascii="Times New Roman" w:hAnsi="Times New Roman" w:eastAsia="仿宋_GB2312" w:cs="仿宋_GB2312"/>
                <w:sz w:val="28"/>
                <w:szCs w:val="28"/>
                <w:lang w:val="en-US" w:eastAsia="zh-CN"/>
              </w:rPr>
              <w:t>局</w:t>
            </w:r>
          </w:p>
          <w:p w14:paraId="6990BF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28"/>
                <w:sz w:val="28"/>
                <w:szCs w:val="28"/>
                <w:lang w:val="en-US" w:eastAsia="zh-CN"/>
              </w:rPr>
            </w:pPr>
            <w:r>
              <w:rPr>
                <w:rFonts w:hint="eastAsia" w:ascii="Times New Roman" w:hAnsi="Times New Roman" w:eastAsia="仿宋_GB2312" w:cs="Times New Roman"/>
                <w:color w:val="000000"/>
                <w:spacing w:val="-28"/>
                <w:sz w:val="28"/>
                <w:szCs w:val="28"/>
                <w:lang w:val="en-US" w:eastAsia="zh-CN"/>
              </w:rPr>
              <w:t>区文体旅游广电局</w:t>
            </w:r>
          </w:p>
          <w:p w14:paraId="29494F27">
            <w:pPr>
              <w:keepNext w:val="0"/>
              <w:keepLines w:val="0"/>
              <w:pageBreakBefore w:val="0"/>
              <w:widowControl w:val="0"/>
              <w:kinsoku/>
              <w:wordWrap/>
              <w:overflowPunct/>
              <w:topLinePunct w:val="0"/>
              <w:autoSpaceDE/>
              <w:autoSpaceDN/>
              <w:bidi w:val="0"/>
              <w:adjustRightInd/>
              <w:snapToGrid/>
              <w:spacing w:line="340" w:lineRule="exact"/>
              <w:ind w:right="20" w:rightChars="6"/>
              <w:jc w:val="left"/>
              <w:textAlignment w:val="auto"/>
              <w:rPr>
                <w:rFonts w:hint="eastAsia" w:ascii="Times New Roman" w:hAnsi="Times New Roman" w:eastAsia="仿宋_GB2312" w:cs="仿宋_GB2312"/>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仿宋_GB2312"/>
                <w:sz w:val="28"/>
                <w:szCs w:val="28"/>
                <w:lang w:val="en-US" w:eastAsia="zh-CN"/>
              </w:rPr>
              <w:t>卫健委</w:t>
            </w:r>
          </w:p>
          <w:p w14:paraId="53E4D0AF">
            <w:pPr>
              <w:keepNext w:val="0"/>
              <w:keepLines w:val="0"/>
              <w:pageBreakBefore w:val="0"/>
              <w:widowControl w:val="0"/>
              <w:kinsoku/>
              <w:wordWrap/>
              <w:overflowPunct/>
              <w:topLinePunct w:val="0"/>
              <w:autoSpaceDE/>
              <w:autoSpaceDN/>
              <w:bidi w:val="0"/>
              <w:adjustRightInd/>
              <w:snapToGrid/>
              <w:spacing w:line="340" w:lineRule="exact"/>
              <w:ind w:right="20" w:rightChars="6"/>
              <w:jc w:val="left"/>
              <w:textAlignment w:val="auto"/>
              <w:rPr>
                <w:rFonts w:hint="eastAsia" w:ascii="Times New Roman" w:hAnsi="Times New Roman" w:eastAsia="仿宋_GB2312" w:cs="仿宋_GB2312"/>
                <w:sz w:val="28"/>
                <w:szCs w:val="28"/>
                <w:lang w:val="en-US" w:eastAsia="zh-CN"/>
              </w:rPr>
            </w:pPr>
            <w:r>
              <w:rPr>
                <w:rFonts w:hint="eastAsia" w:eastAsia="仿宋_GB2312" w:cs="仿宋_GB2312"/>
                <w:sz w:val="28"/>
                <w:szCs w:val="28"/>
                <w:lang w:val="en-US" w:eastAsia="zh-CN"/>
              </w:rPr>
              <w:t>团区</w:t>
            </w:r>
            <w:r>
              <w:rPr>
                <w:rFonts w:hint="eastAsia" w:ascii="Times New Roman" w:hAnsi="Times New Roman" w:eastAsia="仿宋_GB2312" w:cs="仿宋_GB2312"/>
                <w:sz w:val="28"/>
                <w:szCs w:val="28"/>
                <w:lang w:val="en-US" w:eastAsia="zh-CN"/>
              </w:rPr>
              <w:t>委</w:t>
            </w:r>
          </w:p>
          <w:p w14:paraId="3708EAA6">
            <w:pPr>
              <w:keepNext w:val="0"/>
              <w:keepLines w:val="0"/>
              <w:pageBreakBefore w:val="0"/>
              <w:widowControl w:val="0"/>
              <w:kinsoku/>
              <w:wordWrap/>
              <w:overflowPunct/>
              <w:topLinePunct w:val="0"/>
              <w:autoSpaceDE/>
              <w:autoSpaceDN/>
              <w:bidi w:val="0"/>
              <w:adjustRightInd/>
              <w:snapToGrid/>
              <w:spacing w:line="340" w:lineRule="exact"/>
              <w:ind w:right="20" w:rightChars="6"/>
              <w:jc w:val="left"/>
              <w:textAlignment w:val="auto"/>
              <w:rPr>
                <w:rFonts w:hint="eastAsia" w:eastAsia="仿宋_GB2312" w:cs="仿宋_GB2312"/>
                <w:sz w:val="28"/>
                <w:szCs w:val="28"/>
                <w:lang w:val="en-US" w:eastAsia="zh-CN"/>
              </w:rPr>
            </w:pPr>
            <w:r>
              <w:rPr>
                <w:rFonts w:hint="eastAsia" w:eastAsia="仿宋_GB2312" w:cs="仿宋_GB2312"/>
                <w:sz w:val="28"/>
                <w:szCs w:val="28"/>
                <w:lang w:val="en-US" w:eastAsia="zh-CN"/>
              </w:rPr>
              <w:t>区妇联</w:t>
            </w:r>
          </w:p>
          <w:p w14:paraId="2B626D4A">
            <w:pPr>
              <w:keepNext w:val="0"/>
              <w:keepLines w:val="0"/>
              <w:pageBreakBefore w:val="0"/>
              <w:widowControl w:val="0"/>
              <w:kinsoku/>
              <w:wordWrap/>
              <w:overflowPunct/>
              <w:topLinePunct w:val="0"/>
              <w:autoSpaceDE/>
              <w:autoSpaceDN/>
              <w:bidi w:val="0"/>
              <w:adjustRightInd/>
              <w:snapToGrid/>
              <w:spacing w:line="340" w:lineRule="exact"/>
              <w:ind w:right="20" w:rightChars="6"/>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sz w:val="28"/>
                <w:szCs w:val="28"/>
                <w:lang w:val="en-US" w:eastAsia="zh-CN"/>
              </w:rPr>
              <w:t>科协</w:t>
            </w:r>
          </w:p>
        </w:tc>
      </w:tr>
      <w:tr w14:paraId="67BC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71" w:type="dxa"/>
            <w:noWrap w:val="0"/>
            <w:vAlign w:val="center"/>
          </w:tcPr>
          <w:p w14:paraId="38C49F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6807AA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66AB4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62E331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2E9961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5F627E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7A78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571" w:type="dxa"/>
            <w:noWrap w:val="0"/>
            <w:vAlign w:val="center"/>
          </w:tcPr>
          <w:p w14:paraId="3063B4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3</w:t>
            </w:r>
          </w:p>
        </w:tc>
        <w:tc>
          <w:tcPr>
            <w:tcW w:w="1375" w:type="dxa"/>
            <w:vMerge w:val="restart"/>
            <w:noWrap w:val="0"/>
            <w:vAlign w:val="center"/>
          </w:tcPr>
          <w:p w14:paraId="7B6645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仿宋_GB2312"/>
                <w:b/>
                <w:bCs/>
                <w:i w:val="0"/>
                <w:caps w:val="0"/>
                <w:color w:val="333333"/>
                <w:spacing w:val="0"/>
                <w:sz w:val="28"/>
                <w:szCs w:val="28"/>
                <w:shd w:val="clear" w:color="auto" w:fill="FFFFFF"/>
              </w:rPr>
              <w:t>青少年科学素质提升行动</w:t>
            </w:r>
          </w:p>
        </w:tc>
        <w:tc>
          <w:tcPr>
            <w:tcW w:w="1429" w:type="dxa"/>
            <w:noWrap w:val="0"/>
            <w:vAlign w:val="center"/>
          </w:tcPr>
          <w:p w14:paraId="4BA8FD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r>
              <w:rPr>
                <w:rFonts w:hint="eastAsia" w:eastAsia="仿宋_GB2312" w:cs="仿宋_GB2312"/>
                <w:b w:val="0"/>
                <w:bCs w:val="0"/>
                <w:i w:val="0"/>
                <w:caps w:val="0"/>
                <w:color w:val="auto"/>
                <w:spacing w:val="0"/>
                <w:kern w:val="2"/>
                <w:sz w:val="28"/>
                <w:szCs w:val="28"/>
                <w:shd w:val="clear" w:color="auto" w:fill="FFFFFF"/>
                <w:lang w:val="en-US" w:eastAsia="zh-CN" w:bidi="ar-SA"/>
              </w:rPr>
              <w:t>3</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.深入开展各类青少年科技教育活动</w:t>
            </w:r>
          </w:p>
        </w:tc>
        <w:tc>
          <w:tcPr>
            <w:tcW w:w="9049" w:type="dxa"/>
            <w:noWrap w:val="0"/>
            <w:vAlign w:val="center"/>
          </w:tcPr>
          <w:p w14:paraId="18984535">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广泛开展青少年科技创新大赛、青少年科学节、校园科技节、青少年机器人竞赛、科普讲解大赛、科普剧展演、科学实验展演等活动。鼓励学校成立科技社团和兴趣小组，开展科普活动。加强研学实践教育基地建设，学校每学期至少安排1次研学实践教育活动。</w:t>
            </w:r>
          </w:p>
        </w:tc>
        <w:tc>
          <w:tcPr>
            <w:tcW w:w="1350" w:type="dxa"/>
            <w:vMerge w:val="restart"/>
            <w:noWrap w:val="0"/>
            <w:vAlign w:val="center"/>
          </w:tcPr>
          <w:p w14:paraId="65B608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教育局</w:t>
            </w:r>
          </w:p>
        </w:tc>
        <w:tc>
          <w:tcPr>
            <w:tcW w:w="2058" w:type="dxa"/>
            <w:noWrap w:val="0"/>
            <w:vAlign w:val="center"/>
          </w:tcPr>
          <w:p w14:paraId="6EC9DB5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仿宋_GB2312"/>
                <w:sz w:val="28"/>
                <w:szCs w:val="28"/>
                <w:lang w:val="en-US" w:eastAsia="zh-CN"/>
              </w:rPr>
            </w:pPr>
            <w:r>
              <w:rPr>
                <w:rFonts w:hint="eastAsia" w:eastAsia="仿宋_GB2312" w:cs="仿宋_GB2312"/>
                <w:sz w:val="28"/>
                <w:szCs w:val="28"/>
                <w:lang w:val="en-US" w:eastAsia="zh-CN"/>
              </w:rPr>
              <w:t>区科技</w:t>
            </w:r>
            <w:r>
              <w:rPr>
                <w:rFonts w:hint="eastAsia" w:ascii="Times New Roman" w:hAnsi="Times New Roman" w:eastAsia="仿宋_GB2312" w:cs="仿宋_GB2312"/>
                <w:sz w:val="28"/>
                <w:szCs w:val="28"/>
                <w:lang w:val="en-US" w:eastAsia="zh-CN"/>
              </w:rPr>
              <w:t>局</w:t>
            </w:r>
          </w:p>
          <w:p w14:paraId="6BA52E6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仿宋_GB2312"/>
                <w:sz w:val="28"/>
                <w:szCs w:val="28"/>
                <w:highlight w:val="none"/>
                <w:lang w:val="en-US" w:eastAsia="zh-CN"/>
              </w:rPr>
            </w:pPr>
            <w:r>
              <w:rPr>
                <w:rFonts w:hint="eastAsia" w:eastAsia="仿宋_GB2312" w:cs="仿宋_GB2312"/>
                <w:sz w:val="28"/>
                <w:szCs w:val="28"/>
                <w:highlight w:val="none"/>
                <w:lang w:val="en-US" w:eastAsia="zh-CN"/>
              </w:rPr>
              <w:t>团区委</w:t>
            </w:r>
          </w:p>
          <w:p w14:paraId="1D71018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区科协</w:t>
            </w:r>
          </w:p>
        </w:tc>
      </w:tr>
      <w:tr w14:paraId="19F1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571" w:type="dxa"/>
            <w:noWrap w:val="0"/>
            <w:vAlign w:val="center"/>
          </w:tcPr>
          <w:p w14:paraId="3F142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4</w:t>
            </w:r>
          </w:p>
        </w:tc>
        <w:tc>
          <w:tcPr>
            <w:tcW w:w="1375" w:type="dxa"/>
            <w:vMerge w:val="continue"/>
            <w:noWrap w:val="0"/>
            <w:vAlign w:val="center"/>
          </w:tcPr>
          <w:p w14:paraId="02F1B7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p>
        </w:tc>
        <w:tc>
          <w:tcPr>
            <w:tcW w:w="1429" w:type="dxa"/>
            <w:noWrap w:val="0"/>
            <w:vAlign w:val="center"/>
          </w:tcPr>
          <w:p w14:paraId="4AA16D0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r>
              <w:rPr>
                <w:rFonts w:hint="eastAsia" w:eastAsia="仿宋_GB2312" w:cs="仿宋_GB2312"/>
                <w:b w:val="0"/>
                <w:bCs w:val="0"/>
                <w:i w:val="0"/>
                <w:caps w:val="0"/>
                <w:color w:val="auto"/>
                <w:spacing w:val="0"/>
                <w:kern w:val="2"/>
                <w:sz w:val="28"/>
                <w:szCs w:val="28"/>
                <w:shd w:val="clear" w:color="auto" w:fill="FFFFFF"/>
                <w:lang w:val="en-US" w:eastAsia="zh-CN" w:bidi="ar-SA"/>
              </w:rPr>
              <w:t>4</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.加强科技</w:t>
            </w:r>
            <w:r>
              <w:rPr>
                <w:rFonts w:hint="eastAsia" w:eastAsia="仿宋_GB2312" w:cs="仿宋_GB2312"/>
                <w:b w:val="0"/>
                <w:bCs w:val="0"/>
                <w:i w:val="0"/>
                <w:caps w:val="0"/>
                <w:color w:val="auto"/>
                <w:spacing w:val="0"/>
                <w:kern w:val="2"/>
                <w:sz w:val="28"/>
                <w:szCs w:val="28"/>
                <w:shd w:val="clear" w:color="auto" w:fill="FFFFFF"/>
                <w:lang w:val="en-US" w:eastAsia="zh-CN" w:bidi="ar-SA"/>
              </w:rPr>
              <w:t>教师</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队伍建设</w:t>
            </w:r>
          </w:p>
        </w:tc>
        <w:tc>
          <w:tcPr>
            <w:tcW w:w="9049" w:type="dxa"/>
            <w:noWrap w:val="0"/>
            <w:vAlign w:val="center"/>
          </w:tcPr>
          <w:p w14:paraId="1B2524D6">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pP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推动各中小学、中职学校至少配备一名专</w:t>
            </w:r>
            <w:r>
              <w:rPr>
                <w:rFonts w:hint="eastAsia" w:cs="仿宋_GB2312"/>
                <w:b w:val="0"/>
                <w:bCs w:val="0"/>
                <w:i w:val="0"/>
                <w:caps w:val="0"/>
                <w:color w:val="auto"/>
                <w:spacing w:val="0"/>
                <w:kern w:val="2"/>
                <w:sz w:val="28"/>
                <w:szCs w:val="28"/>
                <w:shd w:val="clear" w:color="auto" w:fill="FFFFFF"/>
                <w:lang w:val="en-US" w:eastAsia="zh-CN" w:bidi="ar-SA"/>
              </w:rPr>
              <w:t>（</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兼</w:t>
            </w:r>
            <w:r>
              <w:rPr>
                <w:rFonts w:hint="eastAsia" w:cs="仿宋_GB2312"/>
                <w:b w:val="0"/>
                <w:bCs w:val="0"/>
                <w:i w:val="0"/>
                <w:caps w:val="0"/>
                <w:color w:val="auto"/>
                <w:spacing w:val="0"/>
                <w:kern w:val="2"/>
                <w:sz w:val="28"/>
                <w:szCs w:val="28"/>
                <w:shd w:val="clear" w:color="auto" w:fill="FFFFFF"/>
                <w:lang w:val="en-US" w:eastAsia="zh-CN" w:bidi="ar-SA"/>
              </w:rPr>
              <w:t>）</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职科技教师。每年完成</w:t>
            </w:r>
            <w:r>
              <w:rPr>
                <w:rFonts w:hint="eastAsia" w:eastAsia="仿宋_GB2312" w:cs="仿宋_GB2312"/>
                <w:b w:val="0"/>
                <w:bCs w:val="0"/>
                <w:i w:val="0"/>
                <w:caps w:val="0"/>
                <w:color w:val="auto"/>
                <w:spacing w:val="0"/>
                <w:kern w:val="2"/>
                <w:sz w:val="28"/>
                <w:szCs w:val="28"/>
                <w:shd w:val="clear" w:color="auto" w:fill="FFFFFF"/>
                <w:lang w:val="en-US" w:eastAsia="zh-CN" w:bidi="ar-SA"/>
              </w:rPr>
              <w:t>科技教师</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培训</w:t>
            </w:r>
            <w:r>
              <w:rPr>
                <w:rFonts w:hint="eastAsia" w:eastAsia="仿宋_GB2312" w:cs="仿宋_GB2312"/>
                <w:b w:val="0"/>
                <w:bCs w:val="0"/>
                <w:i w:val="0"/>
                <w:caps w:val="0"/>
                <w:color w:val="auto"/>
                <w:spacing w:val="0"/>
                <w:kern w:val="2"/>
                <w:sz w:val="28"/>
                <w:szCs w:val="28"/>
                <w:shd w:val="clear" w:color="auto" w:fill="FFFFFF"/>
                <w:lang w:val="en-US" w:eastAsia="zh-CN" w:bidi="ar-SA"/>
              </w:rPr>
              <w:t>300</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人次以上，其中农村牧区</w:t>
            </w:r>
            <w:r>
              <w:rPr>
                <w:rFonts w:hint="eastAsia" w:eastAsia="仿宋_GB2312" w:cs="仿宋_GB2312"/>
                <w:b w:val="0"/>
                <w:bCs w:val="0"/>
                <w:i w:val="0"/>
                <w:caps w:val="0"/>
                <w:color w:val="auto"/>
                <w:spacing w:val="0"/>
                <w:kern w:val="2"/>
                <w:sz w:val="28"/>
                <w:szCs w:val="28"/>
                <w:shd w:val="clear" w:color="auto" w:fill="FFFFFF"/>
                <w:lang w:val="en-US" w:eastAsia="zh-CN" w:bidi="ar-SA"/>
              </w:rPr>
              <w:t>学校科技教师</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培训</w:t>
            </w:r>
            <w:r>
              <w:rPr>
                <w:rFonts w:hint="eastAsia" w:eastAsia="仿宋_GB2312" w:cs="仿宋_GB2312"/>
                <w:b w:val="0"/>
                <w:bCs w:val="0"/>
                <w:i w:val="0"/>
                <w:caps w:val="0"/>
                <w:color w:val="auto"/>
                <w:spacing w:val="0"/>
                <w:kern w:val="2"/>
                <w:sz w:val="28"/>
                <w:szCs w:val="28"/>
                <w:shd w:val="clear" w:color="auto" w:fill="FFFFFF"/>
                <w:lang w:val="en-US" w:eastAsia="zh-CN" w:bidi="ar-SA"/>
              </w:rPr>
              <w:t>2</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0人次以上。将</w:t>
            </w:r>
            <w:r>
              <w:rPr>
                <w:rFonts w:hint="eastAsia" w:eastAsia="仿宋_GB2312" w:cs="仿宋_GB2312"/>
                <w:b w:val="0"/>
                <w:bCs w:val="0"/>
                <w:i w:val="0"/>
                <w:caps w:val="0"/>
                <w:color w:val="auto"/>
                <w:spacing w:val="0"/>
                <w:kern w:val="2"/>
                <w:sz w:val="28"/>
                <w:szCs w:val="28"/>
                <w:shd w:val="clear" w:color="auto" w:fill="FFFFFF"/>
                <w:lang w:val="en-US" w:eastAsia="zh-CN" w:bidi="ar-SA"/>
              </w:rPr>
              <w:t>学校</w:t>
            </w:r>
            <w:r>
              <w:rPr>
                <w:rFonts w:hint="eastAsia" w:ascii="Times New Roman" w:hAnsi="Times New Roman" w:eastAsia="仿宋_GB2312" w:cs="仿宋_GB2312"/>
                <w:b w:val="0"/>
                <w:bCs w:val="0"/>
                <w:i w:val="0"/>
                <w:caps w:val="0"/>
                <w:color w:val="auto"/>
                <w:spacing w:val="0"/>
                <w:kern w:val="2"/>
                <w:sz w:val="28"/>
                <w:szCs w:val="28"/>
                <w:shd w:val="clear" w:color="auto" w:fill="FFFFFF"/>
                <w:lang w:val="en-US" w:eastAsia="zh-CN" w:bidi="ar-SA"/>
              </w:rPr>
              <w:t>科技教师承担的教学任务外的科技辅导任务计入工作量，列入绩效考核内容，并对科技教学和课外科技辅导取得优异成绩的科技教师在职称评定和评优评先等方面给予政策倾斜。</w:t>
            </w:r>
          </w:p>
        </w:tc>
        <w:tc>
          <w:tcPr>
            <w:tcW w:w="1350" w:type="dxa"/>
            <w:vMerge w:val="continue"/>
            <w:noWrap w:val="0"/>
            <w:vAlign w:val="center"/>
          </w:tcPr>
          <w:p w14:paraId="74ED0F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61B833F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仿宋_GB2312"/>
                <w:sz w:val="28"/>
                <w:szCs w:val="28"/>
                <w:lang w:val="en-US" w:eastAsia="zh-CN"/>
              </w:rPr>
              <w:t>人社局</w:t>
            </w:r>
          </w:p>
          <w:p w14:paraId="570CFBF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sz w:val="28"/>
                <w:szCs w:val="28"/>
                <w:lang w:val="en-US" w:eastAsia="zh-CN"/>
              </w:rPr>
              <w:t>科协</w:t>
            </w:r>
          </w:p>
        </w:tc>
      </w:tr>
      <w:tr w14:paraId="27A8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71" w:type="dxa"/>
            <w:noWrap w:val="0"/>
            <w:vAlign w:val="center"/>
          </w:tcPr>
          <w:p w14:paraId="6C349A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lang w:val="en-US" w:eastAsia="zh-CN"/>
              </w:rPr>
            </w:pPr>
            <w:r>
              <w:rPr>
                <w:rFonts w:hint="eastAsia" w:eastAsia="仿宋_GB2312" w:cs="仿宋_GB2312"/>
                <w:b w:val="0"/>
                <w:bCs w:val="0"/>
                <w:sz w:val="28"/>
                <w:szCs w:val="28"/>
                <w:lang w:val="en-US" w:eastAsia="zh-CN"/>
              </w:rPr>
              <w:t>5</w:t>
            </w:r>
          </w:p>
        </w:tc>
        <w:tc>
          <w:tcPr>
            <w:tcW w:w="1375" w:type="dxa"/>
            <w:vMerge w:val="restart"/>
            <w:noWrap w:val="0"/>
            <w:vAlign w:val="center"/>
          </w:tcPr>
          <w:p w14:paraId="439DFB8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sz w:val="28"/>
                <w:szCs w:val="28"/>
                <w:vertAlign w:val="baseline"/>
                <w:lang w:val="en-US" w:eastAsia="zh-CN"/>
              </w:rPr>
            </w:pPr>
            <w:r>
              <w:rPr>
                <w:rFonts w:hint="default" w:ascii="Times New Roman" w:hAnsi="Times New Roman" w:eastAsia="仿宋_GB2312" w:cs="Times New Roman"/>
                <w:b/>
                <w:bCs/>
                <w:sz w:val="28"/>
                <w:szCs w:val="28"/>
                <w:lang w:val="en-US" w:eastAsia="zh-CN"/>
              </w:rPr>
              <w:t>农牧民科学素质提升行动</w:t>
            </w:r>
          </w:p>
        </w:tc>
        <w:tc>
          <w:tcPr>
            <w:tcW w:w="1429" w:type="dxa"/>
            <w:noWrap w:val="0"/>
            <w:vAlign w:val="center"/>
          </w:tcPr>
          <w:p w14:paraId="160957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1.树立相信科学、和谐理性的思想观念</w:t>
            </w:r>
          </w:p>
        </w:tc>
        <w:tc>
          <w:tcPr>
            <w:tcW w:w="9049" w:type="dxa"/>
            <w:noWrap w:val="0"/>
            <w:vAlign w:val="center"/>
          </w:tcPr>
          <w:p w14:paraId="0593B8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仿宋_GB2312"/>
                <w:b w:val="0"/>
                <w:bCs w:val="0"/>
                <w:kern w:val="2"/>
                <w:sz w:val="28"/>
                <w:szCs w:val="28"/>
                <w:vertAlign w:val="baseline"/>
                <w:lang w:val="en-US" w:eastAsia="zh-CN" w:bidi="ar-SA"/>
              </w:rPr>
            </w:pPr>
            <w:r>
              <w:rPr>
                <w:rFonts w:hint="eastAsia" w:ascii="Times New Roman" w:hAnsi="Times New Roman" w:eastAsia="仿宋_GB2312" w:cs="仿宋_GB2312"/>
                <w:b w:val="0"/>
                <w:bCs w:val="0"/>
                <w:kern w:val="2"/>
                <w:sz w:val="28"/>
                <w:szCs w:val="28"/>
                <w:vertAlign w:val="baseline"/>
                <w:lang w:val="en-US" w:eastAsia="zh-CN" w:bidi="ar-SA"/>
              </w:rPr>
              <w:t>深入开展文化科技卫生“三下乡”、全国科普日、科技活动周等科普宣传教育活动。通过线上线下相结合的方式，推动科学技术普及。</w:t>
            </w:r>
          </w:p>
        </w:tc>
        <w:tc>
          <w:tcPr>
            <w:tcW w:w="1350" w:type="dxa"/>
            <w:vMerge w:val="restart"/>
            <w:noWrap w:val="0"/>
            <w:vAlign w:val="center"/>
          </w:tcPr>
          <w:p w14:paraId="45440B0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黑体"/>
                <w:kern w:val="2"/>
                <w:sz w:val="28"/>
                <w:szCs w:val="28"/>
                <w:vertAlign w:val="baseline"/>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农牧局</w:t>
            </w:r>
          </w:p>
        </w:tc>
        <w:tc>
          <w:tcPr>
            <w:tcW w:w="2058" w:type="dxa"/>
            <w:noWrap w:val="0"/>
            <w:vAlign w:val="center"/>
          </w:tcPr>
          <w:p w14:paraId="137C9B2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6DB2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571" w:type="dxa"/>
            <w:noWrap w:val="0"/>
            <w:vAlign w:val="center"/>
          </w:tcPr>
          <w:p w14:paraId="5C36D4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lang w:val="en-US" w:eastAsia="zh-CN"/>
              </w:rPr>
            </w:pPr>
            <w:r>
              <w:rPr>
                <w:rFonts w:hint="eastAsia" w:eastAsia="仿宋_GB2312" w:cs="仿宋_GB2312"/>
                <w:b w:val="0"/>
                <w:bCs w:val="0"/>
                <w:sz w:val="28"/>
                <w:szCs w:val="28"/>
                <w:lang w:val="en-US" w:eastAsia="zh-CN"/>
              </w:rPr>
              <w:t>6</w:t>
            </w:r>
          </w:p>
        </w:tc>
        <w:tc>
          <w:tcPr>
            <w:tcW w:w="1375" w:type="dxa"/>
            <w:vMerge w:val="continue"/>
            <w:noWrap w:val="0"/>
            <w:vAlign w:val="center"/>
          </w:tcPr>
          <w:p w14:paraId="799AF9B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p>
        </w:tc>
        <w:tc>
          <w:tcPr>
            <w:tcW w:w="1429" w:type="dxa"/>
            <w:noWrap w:val="0"/>
            <w:vAlign w:val="center"/>
          </w:tcPr>
          <w:p w14:paraId="4A9A6B1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eastAsia="仿宋_GB2312" w:cs="仿宋_GB2312"/>
                <w:kern w:val="2"/>
                <w:sz w:val="28"/>
                <w:szCs w:val="28"/>
                <w:vertAlign w:val="baseline"/>
                <w:lang w:val="en-US" w:eastAsia="zh-CN" w:bidi="ar-SA"/>
              </w:rPr>
              <w:t>2.实施农牧民科技教育培训计划</w:t>
            </w:r>
          </w:p>
        </w:tc>
        <w:tc>
          <w:tcPr>
            <w:tcW w:w="9049" w:type="dxa"/>
            <w:noWrap w:val="0"/>
            <w:vAlign w:val="center"/>
          </w:tcPr>
          <w:p w14:paraId="4290D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仿宋_GB2312" w:cs="仿宋_GB2312"/>
                <w:kern w:val="2"/>
                <w:sz w:val="28"/>
                <w:szCs w:val="28"/>
                <w:vertAlign w:val="baseline"/>
                <w:lang w:val="en-US" w:eastAsia="zh-CN" w:bidi="ar-SA"/>
              </w:rPr>
              <w:t>开展农村牧区实用人才培训，实施农村创新创业带头人培育行动、乡村振兴本土人才培训计划、高素质农牧民学历提升行动、农村电商技能人才培训。支持农牧民参加中高等农业职业教育。开展“智爱妈妈”活动，举办农</w:t>
            </w:r>
            <w:r>
              <w:rPr>
                <w:rFonts w:hint="eastAsia" w:eastAsia="仿宋_GB2312" w:cs="仿宋_GB2312"/>
                <w:kern w:val="2"/>
                <w:sz w:val="28"/>
                <w:szCs w:val="28"/>
                <w:vertAlign w:val="baseline"/>
                <w:lang w:val="en-US" w:eastAsia="zh-CN" w:bidi="ar-SA"/>
              </w:rPr>
              <w:t>村</w:t>
            </w:r>
            <w:r>
              <w:rPr>
                <w:rFonts w:hint="eastAsia" w:ascii="Times New Roman" w:hAnsi="Times New Roman" w:eastAsia="仿宋_GB2312" w:cs="仿宋_GB2312"/>
                <w:kern w:val="2"/>
                <w:sz w:val="28"/>
                <w:szCs w:val="28"/>
                <w:vertAlign w:val="baseline"/>
                <w:lang w:val="en-US" w:eastAsia="zh-CN" w:bidi="ar-SA"/>
              </w:rPr>
              <w:t>牧区妇女科学素质专题培训班，鼓励巾帼农牧业科技示范基地广泛开展培训。“十四五”期间，培训高素质农牧民</w:t>
            </w:r>
            <w:r>
              <w:rPr>
                <w:rFonts w:hint="eastAsia" w:eastAsia="仿宋_GB2312" w:cs="仿宋_GB2312"/>
                <w:kern w:val="2"/>
                <w:sz w:val="28"/>
                <w:szCs w:val="28"/>
                <w:vertAlign w:val="baseline"/>
                <w:lang w:val="en-US" w:eastAsia="zh-CN" w:bidi="ar-SA"/>
              </w:rPr>
              <w:t>2000</w:t>
            </w:r>
            <w:r>
              <w:rPr>
                <w:rFonts w:hint="eastAsia" w:ascii="Times New Roman" w:hAnsi="Times New Roman" w:eastAsia="仿宋_GB2312" w:cs="仿宋_GB2312"/>
                <w:kern w:val="2"/>
                <w:sz w:val="28"/>
                <w:szCs w:val="28"/>
                <w:vertAlign w:val="baseline"/>
                <w:lang w:val="en-US" w:eastAsia="zh-CN" w:bidi="ar-SA"/>
              </w:rPr>
              <w:t>人次。</w:t>
            </w:r>
          </w:p>
        </w:tc>
        <w:tc>
          <w:tcPr>
            <w:tcW w:w="1350" w:type="dxa"/>
            <w:vMerge w:val="continue"/>
            <w:noWrap w:val="0"/>
            <w:vAlign w:val="center"/>
          </w:tcPr>
          <w:p w14:paraId="2F5087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43DC062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sz w:val="28"/>
                <w:szCs w:val="28"/>
                <w:lang w:val="en-US" w:eastAsia="zh-CN"/>
              </w:rPr>
            </w:pPr>
            <w:r>
              <w:rPr>
                <w:rFonts w:hint="eastAsia" w:eastAsia="仿宋_GB2312" w:cs="仿宋_GB2312"/>
                <w:sz w:val="28"/>
                <w:szCs w:val="28"/>
                <w:lang w:val="en-US" w:eastAsia="zh-CN"/>
              </w:rPr>
              <w:t>区科技</w:t>
            </w:r>
            <w:r>
              <w:rPr>
                <w:rFonts w:hint="eastAsia" w:ascii="Times New Roman" w:hAnsi="Times New Roman" w:eastAsia="仿宋_GB2312" w:cs="仿宋_GB2312"/>
                <w:sz w:val="28"/>
                <w:szCs w:val="28"/>
                <w:lang w:val="en-US" w:eastAsia="zh-CN"/>
              </w:rPr>
              <w:t>局</w:t>
            </w:r>
          </w:p>
          <w:p w14:paraId="73373DD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人社局</w:t>
            </w:r>
          </w:p>
          <w:p w14:paraId="4F4EBFF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仿宋_GB2312"/>
                <w:sz w:val="28"/>
                <w:szCs w:val="28"/>
                <w:lang w:val="en-US" w:eastAsia="zh-CN"/>
              </w:rPr>
            </w:pPr>
            <w:r>
              <w:rPr>
                <w:rFonts w:hint="eastAsia" w:eastAsia="仿宋_GB2312" w:cs="仿宋_GB2312"/>
                <w:sz w:val="28"/>
                <w:szCs w:val="28"/>
                <w:lang w:val="en-US" w:eastAsia="zh-CN"/>
              </w:rPr>
              <w:t>区商务局</w:t>
            </w:r>
          </w:p>
          <w:p w14:paraId="05978FB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妇联</w:t>
            </w:r>
          </w:p>
          <w:p w14:paraId="5BE9CA0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科协</w:t>
            </w:r>
          </w:p>
        </w:tc>
      </w:tr>
      <w:tr w14:paraId="27EC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71" w:type="dxa"/>
            <w:noWrap w:val="0"/>
            <w:vAlign w:val="center"/>
          </w:tcPr>
          <w:p w14:paraId="1AD94A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6B777A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76FE86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536A94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363791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31AD4D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7C1A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571" w:type="dxa"/>
            <w:noWrap w:val="0"/>
            <w:vAlign w:val="center"/>
          </w:tcPr>
          <w:p w14:paraId="67711C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7</w:t>
            </w:r>
          </w:p>
        </w:tc>
        <w:tc>
          <w:tcPr>
            <w:tcW w:w="1375" w:type="dxa"/>
            <w:vMerge w:val="restart"/>
            <w:noWrap w:val="0"/>
            <w:vAlign w:val="center"/>
          </w:tcPr>
          <w:p w14:paraId="0895FB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b/>
                <w:bCs/>
                <w:sz w:val="28"/>
                <w:szCs w:val="28"/>
                <w:lang w:val="en-US" w:eastAsia="zh-CN"/>
              </w:rPr>
              <w:t>农牧民科学素质提升行动</w:t>
            </w:r>
          </w:p>
        </w:tc>
        <w:tc>
          <w:tcPr>
            <w:tcW w:w="1429" w:type="dxa"/>
            <w:noWrap w:val="0"/>
            <w:vAlign w:val="center"/>
          </w:tcPr>
          <w:p w14:paraId="5E4981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r>
              <w:rPr>
                <w:rFonts w:hint="eastAsia" w:eastAsia="仿宋_GB2312" w:cs="仿宋_GB2312"/>
                <w:b w:val="0"/>
                <w:bCs w:val="0"/>
                <w:sz w:val="28"/>
                <w:szCs w:val="28"/>
                <w:vertAlign w:val="baseline"/>
                <w:lang w:val="en-US" w:eastAsia="zh-CN"/>
              </w:rPr>
              <w:t>3</w:t>
            </w:r>
            <w:r>
              <w:rPr>
                <w:rFonts w:hint="default" w:ascii="Times New Roman" w:hAnsi="Times New Roman" w:eastAsia="仿宋_GB2312" w:cs="Times New Roman"/>
                <w:color w:val="000000"/>
                <w:spacing w:val="-6"/>
                <w:sz w:val="28"/>
                <w:szCs w:val="28"/>
                <w:lang w:val="en-US" w:eastAsia="zh-CN"/>
              </w:rPr>
              <w:t>.</w:t>
            </w:r>
            <w:r>
              <w:rPr>
                <w:rFonts w:hint="default" w:eastAsia="仿宋_GB2312" w:cs="Times New Roman"/>
                <w:color w:val="000000"/>
                <w:spacing w:val="-6"/>
                <w:sz w:val="28"/>
                <w:szCs w:val="28"/>
                <w:lang w:eastAsia="zh-CN"/>
              </w:rPr>
              <w:t>开展</w:t>
            </w:r>
            <w:r>
              <w:rPr>
                <w:rFonts w:hint="default" w:ascii="Times New Roman" w:hAnsi="Times New Roman" w:eastAsia="仿宋_GB2312" w:cs="Times New Roman"/>
                <w:color w:val="000000"/>
                <w:spacing w:val="-6"/>
                <w:sz w:val="28"/>
                <w:szCs w:val="28"/>
                <w:lang w:val="en-US" w:eastAsia="zh-CN"/>
              </w:rPr>
              <w:t>乡村振兴</w:t>
            </w:r>
            <w:r>
              <w:rPr>
                <w:rFonts w:hint="eastAsia" w:ascii="Times New Roman" w:hAnsi="Times New Roman" w:eastAsia="仿宋_GB2312" w:cs="Times New Roman"/>
                <w:color w:val="000000"/>
                <w:spacing w:val="-6"/>
                <w:sz w:val="28"/>
                <w:szCs w:val="28"/>
                <w:lang w:val="en-US" w:eastAsia="zh-CN"/>
              </w:rPr>
              <w:t>科技支撑</w:t>
            </w:r>
            <w:r>
              <w:rPr>
                <w:rFonts w:hint="default" w:ascii="Times New Roman" w:hAnsi="Times New Roman" w:eastAsia="仿宋_GB2312" w:cs="Times New Roman"/>
                <w:color w:val="000000"/>
                <w:spacing w:val="-6"/>
                <w:sz w:val="28"/>
                <w:szCs w:val="28"/>
                <w:lang w:val="en-US" w:eastAsia="zh-CN"/>
              </w:rPr>
              <w:t>行动</w:t>
            </w:r>
          </w:p>
        </w:tc>
        <w:tc>
          <w:tcPr>
            <w:tcW w:w="9049" w:type="dxa"/>
            <w:noWrap w:val="0"/>
            <w:vAlign w:val="center"/>
          </w:tcPr>
          <w:p w14:paraId="1568E98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pacing w:val="-6"/>
                <w:sz w:val="28"/>
                <w:szCs w:val="28"/>
                <w:lang w:val="en-US" w:eastAsia="zh-CN"/>
              </w:rPr>
            </w:pPr>
            <w:r>
              <w:rPr>
                <w:rFonts w:hint="default" w:ascii="Times New Roman" w:hAnsi="Times New Roman" w:eastAsia="仿宋_GB2312" w:cs="Times New Roman"/>
                <w:color w:val="000000"/>
                <w:spacing w:val="-6"/>
                <w:sz w:val="28"/>
                <w:szCs w:val="28"/>
                <w:lang w:val="en-US" w:eastAsia="zh-CN"/>
              </w:rPr>
              <w:t>着力打造一批科技强镇、科技名村、科技小院。鼓励高校、科研院所和科技社团开展乡村振兴智力服务，推广专家大院、村会合作等农业科技社会化服务模式。支持家庭农场、农民合作社、农业社会化服务组织等新型农业经营主体和服务主体开展科技示范。深入推行科技特派员制度。</w:t>
            </w:r>
          </w:p>
        </w:tc>
        <w:tc>
          <w:tcPr>
            <w:tcW w:w="1350" w:type="dxa"/>
            <w:vMerge w:val="restart"/>
            <w:noWrap w:val="0"/>
            <w:vAlign w:val="center"/>
          </w:tcPr>
          <w:p w14:paraId="6D101D5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农牧局</w:t>
            </w:r>
          </w:p>
        </w:tc>
        <w:tc>
          <w:tcPr>
            <w:tcW w:w="2058" w:type="dxa"/>
            <w:noWrap w:val="0"/>
            <w:vAlign w:val="center"/>
          </w:tcPr>
          <w:p w14:paraId="475C4C5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Times New Roman"/>
                <w:color w:val="000000"/>
                <w:kern w:val="2"/>
                <w:sz w:val="28"/>
                <w:szCs w:val="28"/>
                <w:lang w:val="en-US" w:eastAsia="zh-CN" w:bidi="ar-SA"/>
              </w:rPr>
            </w:pPr>
            <w:r>
              <w:rPr>
                <w:rFonts w:hint="eastAsia" w:eastAsia="仿宋_GB2312" w:cs="仿宋_GB2312"/>
                <w:sz w:val="28"/>
                <w:szCs w:val="28"/>
                <w:lang w:val="en-US" w:eastAsia="zh-CN"/>
              </w:rPr>
              <w:t>区科技局</w:t>
            </w:r>
          </w:p>
          <w:p w14:paraId="654619A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eastAsia" w:eastAsia="仿宋_GB2312" w:cs="Times New Roman"/>
                <w:color w:val="000000"/>
                <w:kern w:val="2"/>
                <w:sz w:val="28"/>
                <w:szCs w:val="28"/>
                <w:lang w:val="en-US" w:eastAsia="zh-CN" w:bidi="ar-SA"/>
              </w:rPr>
              <w:t>农牧局</w:t>
            </w:r>
          </w:p>
          <w:p w14:paraId="5184496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科协</w:t>
            </w:r>
          </w:p>
        </w:tc>
      </w:tr>
      <w:tr w14:paraId="6F92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571" w:type="dxa"/>
            <w:noWrap w:val="0"/>
            <w:vAlign w:val="center"/>
          </w:tcPr>
          <w:p w14:paraId="1F956E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000000"/>
                <w:sz w:val="28"/>
                <w:szCs w:val="28"/>
                <w:lang w:val="en-US" w:eastAsia="zh-CN"/>
              </w:rPr>
            </w:pPr>
            <w:r>
              <w:rPr>
                <w:rFonts w:hint="eastAsia" w:eastAsia="仿宋_GB2312" w:cs="仿宋_GB2312"/>
                <w:b w:val="0"/>
                <w:bCs w:val="0"/>
                <w:color w:val="000000"/>
                <w:sz w:val="28"/>
                <w:szCs w:val="28"/>
                <w:lang w:val="en-US" w:eastAsia="zh-CN"/>
              </w:rPr>
              <w:t>8</w:t>
            </w:r>
          </w:p>
        </w:tc>
        <w:tc>
          <w:tcPr>
            <w:tcW w:w="1375" w:type="dxa"/>
            <w:vMerge w:val="continue"/>
            <w:noWrap w:val="0"/>
            <w:vAlign w:val="center"/>
          </w:tcPr>
          <w:p w14:paraId="34E927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楷体_GB2312" w:cs="楷体_GB2312"/>
                <w:b/>
                <w:bCs/>
                <w:color w:val="000000"/>
                <w:sz w:val="28"/>
                <w:szCs w:val="28"/>
                <w:lang w:val="en-US" w:eastAsia="zh-CN"/>
              </w:rPr>
            </w:pPr>
          </w:p>
        </w:tc>
        <w:tc>
          <w:tcPr>
            <w:tcW w:w="1429" w:type="dxa"/>
            <w:noWrap w:val="0"/>
            <w:vAlign w:val="center"/>
          </w:tcPr>
          <w:p w14:paraId="50C898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pacing w:val="-6"/>
                <w:sz w:val="28"/>
                <w:szCs w:val="28"/>
                <w:lang w:val="en-US" w:eastAsia="zh-CN"/>
              </w:rPr>
            </w:pPr>
            <w:r>
              <w:rPr>
                <w:rFonts w:hint="eastAsia" w:eastAsia="仿宋_GB2312" w:cs="Times New Roman"/>
                <w:color w:val="000000"/>
                <w:spacing w:val="-6"/>
                <w:sz w:val="28"/>
                <w:szCs w:val="28"/>
                <w:lang w:val="en-US" w:eastAsia="zh-CN"/>
              </w:rPr>
              <w:t>4</w:t>
            </w:r>
            <w:r>
              <w:rPr>
                <w:rFonts w:hint="default" w:ascii="Times New Roman" w:hAnsi="Times New Roman" w:eastAsia="仿宋_GB2312" w:cs="Times New Roman"/>
                <w:color w:val="000000"/>
                <w:spacing w:val="-6"/>
                <w:sz w:val="28"/>
                <w:szCs w:val="28"/>
                <w:lang w:val="en-US" w:eastAsia="zh-CN"/>
              </w:rPr>
              <w:t>.健全农村</w:t>
            </w:r>
            <w:r>
              <w:rPr>
                <w:rFonts w:hint="eastAsia" w:ascii="Times New Roman" w:hAnsi="Times New Roman" w:eastAsia="仿宋_GB2312" w:cs="Times New Roman"/>
                <w:color w:val="000000"/>
                <w:spacing w:val="-6"/>
                <w:sz w:val="28"/>
                <w:szCs w:val="28"/>
                <w:lang w:val="en-US" w:eastAsia="zh-CN"/>
              </w:rPr>
              <w:t>牧区</w:t>
            </w:r>
            <w:r>
              <w:rPr>
                <w:rFonts w:hint="default" w:ascii="Times New Roman" w:hAnsi="Times New Roman" w:eastAsia="仿宋_GB2312" w:cs="Times New Roman"/>
                <w:color w:val="000000"/>
                <w:spacing w:val="-6"/>
                <w:sz w:val="28"/>
                <w:szCs w:val="28"/>
                <w:lang w:val="en-US" w:eastAsia="zh-CN"/>
              </w:rPr>
              <w:t>科普公共服务体系</w:t>
            </w:r>
          </w:p>
        </w:tc>
        <w:tc>
          <w:tcPr>
            <w:tcW w:w="9049" w:type="dxa"/>
            <w:noWrap w:val="0"/>
            <w:vAlign w:val="center"/>
          </w:tcPr>
          <w:p w14:paraId="0A7937A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健全农村科普公共服务体系。深入开展</w:t>
            </w:r>
            <w:r>
              <w:rPr>
                <w:rFonts w:hint="default" w:ascii="Times New Roman" w:hAnsi="Times New Roman" w:eastAsia="仿宋_GB2312" w:cs="Times New Roman"/>
                <w:color w:val="000000"/>
                <w:spacing w:val="-6"/>
                <w:sz w:val="28"/>
                <w:szCs w:val="28"/>
                <w:lang w:val="en-US" w:eastAsia="zh-CN"/>
              </w:rPr>
              <w:t>“百名专家走进盟市旗县科普传播行”“科技助力乡村振兴专家旗县行”活动</w:t>
            </w:r>
            <w:r>
              <w:rPr>
                <w:rFonts w:hint="eastAsia" w:ascii="Times New Roman" w:hAnsi="Times New Roman" w:eastAsia="仿宋_GB2312" w:cs="Times New Roman"/>
                <w:color w:val="000000"/>
                <w:spacing w:val="-6"/>
                <w:sz w:val="28"/>
                <w:szCs w:val="28"/>
                <w:lang w:val="en-US" w:eastAsia="zh-CN"/>
              </w:rPr>
              <w:t>，</w:t>
            </w:r>
            <w:r>
              <w:rPr>
                <w:rFonts w:hint="default" w:ascii="Times New Roman" w:hAnsi="Times New Roman" w:eastAsia="仿宋_GB2312" w:cs="Times New Roman"/>
                <w:color w:val="000000"/>
                <w:spacing w:val="-6"/>
                <w:sz w:val="28"/>
                <w:szCs w:val="28"/>
                <w:lang w:val="en-US" w:eastAsia="zh-CN"/>
              </w:rPr>
              <w:t>提高农民科技文化素质</w:t>
            </w:r>
            <w:r>
              <w:rPr>
                <w:rFonts w:hint="eastAsia" w:ascii="Times New Roman" w:hAnsi="Times New Roman" w:eastAsia="仿宋_GB2312" w:cs="Times New Roman"/>
                <w:color w:val="000000"/>
                <w:spacing w:val="-6"/>
                <w:sz w:val="28"/>
                <w:szCs w:val="28"/>
                <w:lang w:val="en-US" w:eastAsia="zh-CN"/>
              </w:rPr>
              <w:t>，</w:t>
            </w:r>
            <w:r>
              <w:rPr>
                <w:rFonts w:hint="default" w:ascii="Times New Roman" w:hAnsi="Times New Roman" w:eastAsia="仿宋_GB2312" w:cs="Times New Roman"/>
                <w:color w:val="000000"/>
                <w:spacing w:val="-6"/>
                <w:sz w:val="28"/>
                <w:szCs w:val="28"/>
                <w:lang w:val="en-US" w:eastAsia="zh-CN"/>
              </w:rPr>
              <w:t>持续巩固脱贫攻坚成果</w:t>
            </w:r>
            <w:r>
              <w:rPr>
                <w:rFonts w:hint="eastAsia" w:ascii="Times New Roman" w:hAnsi="Times New Roman" w:eastAsia="仿宋_GB2312" w:cs="Times New Roman"/>
                <w:color w:val="000000"/>
                <w:spacing w:val="-6"/>
                <w:sz w:val="28"/>
                <w:szCs w:val="28"/>
                <w:lang w:val="en-US" w:eastAsia="zh-CN"/>
              </w:rPr>
              <w:t>，</w:t>
            </w:r>
            <w:r>
              <w:rPr>
                <w:rFonts w:hint="default" w:ascii="Times New Roman" w:hAnsi="Times New Roman" w:eastAsia="仿宋_GB2312" w:cs="Times New Roman"/>
                <w:color w:val="000000"/>
                <w:spacing w:val="-6"/>
                <w:sz w:val="28"/>
                <w:szCs w:val="28"/>
                <w:lang w:val="en-US" w:eastAsia="zh-CN"/>
              </w:rPr>
              <w:t>增强内生发展动力。</w:t>
            </w:r>
            <w:r>
              <w:rPr>
                <w:rFonts w:hint="eastAsia" w:ascii="Times New Roman" w:hAnsi="Times New Roman" w:eastAsia="仿宋_GB2312" w:cs="Times New Roman"/>
                <w:color w:val="000000"/>
                <w:spacing w:val="-6"/>
                <w:sz w:val="28"/>
                <w:szCs w:val="28"/>
                <w:lang w:val="en-US" w:eastAsia="zh-CN"/>
              </w:rPr>
              <w:t>发挥“村村响”、</w:t>
            </w:r>
            <w:r>
              <w:rPr>
                <w:rFonts w:hint="default" w:ascii="Times New Roman" w:hAnsi="Times New Roman" w:eastAsia="仿宋_GB2312" w:cs="Times New Roman"/>
                <w:color w:val="000000"/>
                <w:spacing w:val="-6"/>
                <w:sz w:val="28"/>
                <w:szCs w:val="28"/>
                <w:lang w:val="en-US" w:eastAsia="zh-CN"/>
              </w:rPr>
              <w:t>农家（草原、科普）</w:t>
            </w:r>
            <w:r>
              <w:rPr>
                <w:rFonts w:hint="eastAsia" w:ascii="Times New Roman" w:hAnsi="Times New Roman" w:eastAsia="仿宋_GB2312" w:cs="Times New Roman"/>
                <w:color w:val="000000"/>
                <w:spacing w:val="-6"/>
                <w:sz w:val="28"/>
                <w:szCs w:val="28"/>
                <w:lang w:val="en-US" w:eastAsia="zh-CN"/>
              </w:rPr>
              <w:t>书屋、包头农牧APP作用，推动各类优质科普资源及内容在农村落地应用。</w:t>
            </w:r>
          </w:p>
          <w:p w14:paraId="3BA4A9F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pacing w:val="-6"/>
                <w:sz w:val="28"/>
                <w:szCs w:val="28"/>
                <w:lang w:val="en-US" w:eastAsia="zh-CN"/>
              </w:rPr>
            </w:pPr>
          </w:p>
        </w:tc>
        <w:tc>
          <w:tcPr>
            <w:tcW w:w="1350" w:type="dxa"/>
            <w:vMerge w:val="continue"/>
            <w:noWrap w:val="0"/>
            <w:vAlign w:val="center"/>
          </w:tcPr>
          <w:p w14:paraId="73F5D7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pacing w:val="-6"/>
                <w:sz w:val="28"/>
                <w:szCs w:val="28"/>
                <w:lang w:val="en-US" w:eastAsia="zh-CN"/>
              </w:rPr>
            </w:pPr>
          </w:p>
        </w:tc>
        <w:tc>
          <w:tcPr>
            <w:tcW w:w="2058" w:type="dxa"/>
            <w:noWrap w:val="0"/>
            <w:vAlign w:val="center"/>
          </w:tcPr>
          <w:p w14:paraId="086E349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区科技</w:t>
            </w:r>
            <w:r>
              <w:rPr>
                <w:rFonts w:hint="eastAsia" w:ascii="Times New Roman" w:hAnsi="Times New Roman" w:eastAsia="仿宋_GB2312" w:cs="仿宋_GB2312"/>
                <w:sz w:val="28"/>
                <w:szCs w:val="28"/>
                <w:lang w:val="en-US" w:eastAsia="zh-CN"/>
              </w:rPr>
              <w:t>局</w:t>
            </w:r>
          </w:p>
          <w:p w14:paraId="1AE45A7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Times New Roman"/>
                <w:color w:val="000000"/>
                <w:spacing w:val="-28"/>
                <w:sz w:val="28"/>
                <w:szCs w:val="28"/>
                <w:lang w:val="en-US" w:eastAsia="zh-CN"/>
              </w:rPr>
            </w:pPr>
            <w:r>
              <w:rPr>
                <w:rFonts w:hint="eastAsia" w:ascii="Times New Roman" w:hAnsi="Times New Roman" w:eastAsia="仿宋_GB2312" w:cs="Times New Roman"/>
                <w:color w:val="000000"/>
                <w:spacing w:val="-28"/>
                <w:sz w:val="28"/>
                <w:szCs w:val="28"/>
                <w:lang w:val="en-US" w:eastAsia="zh-CN"/>
              </w:rPr>
              <w:t>区文体旅游广电局</w:t>
            </w:r>
          </w:p>
          <w:p w14:paraId="67950E8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科协</w:t>
            </w:r>
          </w:p>
        </w:tc>
      </w:tr>
      <w:tr w14:paraId="2044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571" w:type="dxa"/>
            <w:noWrap w:val="0"/>
            <w:vAlign w:val="center"/>
          </w:tcPr>
          <w:p w14:paraId="0D0D29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000000"/>
                <w:sz w:val="28"/>
                <w:szCs w:val="28"/>
                <w:lang w:val="en-US" w:eastAsia="zh-CN"/>
              </w:rPr>
            </w:pPr>
            <w:r>
              <w:rPr>
                <w:rFonts w:hint="eastAsia" w:eastAsia="仿宋_GB2312" w:cs="仿宋_GB2312"/>
                <w:b w:val="0"/>
                <w:bCs w:val="0"/>
                <w:color w:val="000000"/>
                <w:sz w:val="28"/>
                <w:szCs w:val="28"/>
                <w:lang w:val="en-US" w:eastAsia="zh-CN"/>
              </w:rPr>
              <w:t>9</w:t>
            </w:r>
          </w:p>
        </w:tc>
        <w:tc>
          <w:tcPr>
            <w:tcW w:w="1375" w:type="dxa"/>
            <w:vMerge w:val="restart"/>
            <w:noWrap w:val="0"/>
            <w:vAlign w:val="center"/>
          </w:tcPr>
          <w:p w14:paraId="5F2221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sz w:val="28"/>
                <w:szCs w:val="28"/>
                <w:vertAlign w:val="baseline"/>
                <w:lang w:val="en-US" w:eastAsia="zh-CN"/>
              </w:rPr>
            </w:pPr>
            <w:r>
              <w:rPr>
                <w:rFonts w:hint="default" w:ascii="Times New Roman" w:hAnsi="Times New Roman" w:eastAsia="仿宋_GB2312" w:cs="Times New Roman"/>
                <w:b/>
                <w:bCs/>
                <w:color w:val="000000"/>
                <w:sz w:val="28"/>
                <w:szCs w:val="28"/>
                <w:lang w:val="en-US" w:eastAsia="zh-CN"/>
              </w:rPr>
              <w:t>产业工人科学素质提升行动</w:t>
            </w:r>
          </w:p>
        </w:tc>
        <w:tc>
          <w:tcPr>
            <w:tcW w:w="1429" w:type="dxa"/>
            <w:tcBorders>
              <w:right w:val="single" w:color="auto" w:sz="4" w:space="0"/>
            </w:tcBorders>
            <w:noWrap w:val="0"/>
            <w:vAlign w:val="center"/>
          </w:tcPr>
          <w:p w14:paraId="5937732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1</w:t>
            </w:r>
            <w:r>
              <w:rPr>
                <w:rFonts w:hint="default" w:ascii="Times New Roman" w:hAnsi="Times New Roman" w:eastAsia="仿宋_GB2312" w:cs="Times New Roman"/>
                <w:color w:val="000000"/>
                <w:sz w:val="28"/>
                <w:szCs w:val="28"/>
                <w:lang w:val="en-US" w:eastAsia="zh-CN"/>
              </w:rPr>
              <w:t>.开展理想信念和职业精神宣传教育</w:t>
            </w:r>
          </w:p>
        </w:tc>
        <w:tc>
          <w:tcPr>
            <w:tcW w:w="9049" w:type="dxa"/>
            <w:tcBorders>
              <w:left w:val="single" w:color="auto" w:sz="4" w:space="0"/>
            </w:tcBorders>
            <w:noWrap w:val="0"/>
            <w:vAlign w:val="center"/>
          </w:tcPr>
          <w:p w14:paraId="34997DBC">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深入开展“中国梦·劳动美”“北疆工匠”、千场劳模事迹宣讲、巾帼建功等活动,大力弘扬劳模精神、劳动精神、工匠精神，营造劳动光荣的社会风尚、精益求精的敬业风气和勇于创新的文化氛围。</w:t>
            </w:r>
          </w:p>
        </w:tc>
        <w:tc>
          <w:tcPr>
            <w:tcW w:w="1350" w:type="dxa"/>
            <w:vMerge w:val="restart"/>
            <w:noWrap w:val="0"/>
            <w:vAlign w:val="center"/>
          </w:tcPr>
          <w:p w14:paraId="6FE4FA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总工会</w:t>
            </w:r>
          </w:p>
        </w:tc>
        <w:tc>
          <w:tcPr>
            <w:tcW w:w="2058" w:type="dxa"/>
            <w:noWrap w:val="0"/>
            <w:vAlign w:val="center"/>
          </w:tcPr>
          <w:p w14:paraId="252CBF2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b w:val="0"/>
                <w:bCs w:val="0"/>
                <w:i w:val="0"/>
                <w:caps w:val="0"/>
                <w:color w:val="333333"/>
                <w:spacing w:val="0"/>
                <w:kern w:val="2"/>
                <w:sz w:val="28"/>
                <w:szCs w:val="28"/>
                <w:shd w:val="clear" w:color="auto" w:fill="FFFFFF"/>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b w:val="0"/>
                <w:bCs w:val="0"/>
                <w:i w:val="0"/>
                <w:caps w:val="0"/>
                <w:color w:val="333333"/>
                <w:spacing w:val="0"/>
                <w:kern w:val="2"/>
                <w:sz w:val="28"/>
                <w:szCs w:val="28"/>
                <w:shd w:val="clear" w:color="auto" w:fill="FFFFFF"/>
                <w:lang w:val="en-US" w:eastAsia="zh-CN" w:bidi="ar-SA"/>
              </w:rPr>
              <w:t>人社局</w:t>
            </w:r>
          </w:p>
          <w:p w14:paraId="2E0F0C0D">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宋体" w:cs="Times New Roman"/>
                <w:kern w:val="2"/>
                <w:sz w:val="21"/>
                <w:szCs w:val="20"/>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b w:val="0"/>
                <w:bCs w:val="0"/>
                <w:i w:val="0"/>
                <w:caps w:val="0"/>
                <w:color w:val="333333"/>
                <w:spacing w:val="0"/>
                <w:kern w:val="2"/>
                <w:sz w:val="28"/>
                <w:szCs w:val="28"/>
                <w:shd w:val="clear" w:color="auto" w:fill="FFFFFF"/>
                <w:lang w:val="en-US" w:eastAsia="zh-CN" w:bidi="ar-SA"/>
              </w:rPr>
              <w:t>妇联</w:t>
            </w:r>
          </w:p>
        </w:tc>
      </w:tr>
      <w:tr w14:paraId="4DAC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571" w:type="dxa"/>
            <w:noWrap w:val="0"/>
            <w:vAlign w:val="center"/>
          </w:tcPr>
          <w:p w14:paraId="48DAC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1</w:t>
            </w:r>
            <w:r>
              <w:rPr>
                <w:rFonts w:hint="eastAsia" w:eastAsia="仿宋_GB2312" w:cs="仿宋_GB2312"/>
                <w:b w:val="0"/>
                <w:bCs w:val="0"/>
                <w:color w:val="000000"/>
                <w:sz w:val="28"/>
                <w:szCs w:val="28"/>
                <w:lang w:val="en-US" w:eastAsia="zh-CN"/>
              </w:rPr>
              <w:t>0</w:t>
            </w:r>
          </w:p>
        </w:tc>
        <w:tc>
          <w:tcPr>
            <w:tcW w:w="1375" w:type="dxa"/>
            <w:vMerge w:val="continue"/>
            <w:noWrap w:val="0"/>
            <w:vAlign w:val="center"/>
          </w:tcPr>
          <w:p w14:paraId="3C5C92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color w:val="000000"/>
                <w:sz w:val="28"/>
                <w:szCs w:val="28"/>
                <w:lang w:val="en-US" w:eastAsia="zh-CN"/>
              </w:rPr>
            </w:pPr>
          </w:p>
        </w:tc>
        <w:tc>
          <w:tcPr>
            <w:tcW w:w="1429" w:type="dxa"/>
            <w:tcBorders>
              <w:right w:val="single" w:color="auto" w:sz="4" w:space="0"/>
            </w:tcBorders>
            <w:noWrap w:val="0"/>
            <w:vAlign w:val="center"/>
          </w:tcPr>
          <w:p w14:paraId="33D369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2</w:t>
            </w:r>
            <w:r>
              <w:rPr>
                <w:rFonts w:hint="default" w:ascii="Times New Roman" w:hAnsi="Times New Roman" w:eastAsia="仿宋_GB2312" w:cs="Times New Roman"/>
                <w:color w:val="000000"/>
                <w:sz w:val="28"/>
                <w:szCs w:val="28"/>
                <w:lang w:val="en-US" w:eastAsia="zh-CN"/>
              </w:rPr>
              <w:t>.开展劳动和技能竞赛活动</w:t>
            </w:r>
          </w:p>
        </w:tc>
        <w:tc>
          <w:tcPr>
            <w:tcW w:w="9049" w:type="dxa"/>
            <w:tcBorders>
              <w:left w:val="single" w:color="auto" w:sz="4" w:space="0"/>
            </w:tcBorders>
            <w:noWrap w:val="0"/>
            <w:vAlign w:val="center"/>
          </w:tcPr>
          <w:p w14:paraId="4688ED90">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开展劳动技能竞赛、创新方法大赛、青年创新大赛、技术大比武、创新创业大赛、巾帼创新创业大赛等职工劳动和技能竞赛。深入推进劳模和工匠人才创新工作室创建工作，统筹利用示范性高技能人才培训基地、技能大师工作室。组织开展“五小”（小发明、小创造、小革新、小设计、小建议）等群众性技术创新活动，推动大众创业、万众创新。</w:t>
            </w:r>
          </w:p>
        </w:tc>
        <w:tc>
          <w:tcPr>
            <w:tcW w:w="1350" w:type="dxa"/>
            <w:vMerge w:val="continue"/>
            <w:noWrap w:val="0"/>
            <w:vAlign w:val="center"/>
          </w:tcPr>
          <w:p w14:paraId="452E768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1EB1979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eastAsia="仿宋_GB2312" w:cs="仿宋_GB2312"/>
                <w:kern w:val="2"/>
                <w:sz w:val="28"/>
                <w:szCs w:val="28"/>
                <w:lang w:val="en-US" w:eastAsia="zh-CN" w:bidi="ar-SA"/>
              </w:rPr>
              <w:t>人社</w:t>
            </w:r>
            <w:r>
              <w:rPr>
                <w:rFonts w:hint="eastAsia" w:ascii="Times New Roman" w:hAnsi="Times New Roman" w:eastAsia="仿宋_GB2312" w:cs="仿宋_GB2312"/>
                <w:kern w:val="2"/>
                <w:sz w:val="28"/>
                <w:szCs w:val="28"/>
                <w:lang w:val="en-US" w:eastAsia="zh-CN" w:bidi="ar-SA"/>
              </w:rPr>
              <w:t>局</w:t>
            </w:r>
          </w:p>
          <w:p w14:paraId="1764C69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kern w:val="2"/>
                <w:sz w:val="28"/>
                <w:szCs w:val="28"/>
                <w:lang w:val="en-US" w:eastAsia="zh-CN" w:bidi="ar-SA"/>
              </w:rPr>
              <w:t>市场监管局</w:t>
            </w:r>
          </w:p>
          <w:p w14:paraId="32B60E0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仿宋_GB2312"/>
                <w:sz w:val="28"/>
                <w:szCs w:val="28"/>
                <w:lang w:val="en-US" w:eastAsia="zh-CN"/>
              </w:rPr>
            </w:pPr>
            <w:r>
              <w:rPr>
                <w:rFonts w:hint="eastAsia" w:eastAsia="仿宋_GB2312" w:cs="仿宋_GB2312"/>
                <w:sz w:val="28"/>
                <w:szCs w:val="28"/>
                <w:lang w:val="en-US" w:eastAsia="zh-CN"/>
              </w:rPr>
              <w:t>团区委</w:t>
            </w:r>
          </w:p>
          <w:p w14:paraId="2A42174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eastAsia="仿宋_GB2312" w:cs="仿宋_GB2312"/>
                <w:kern w:val="2"/>
                <w:sz w:val="28"/>
                <w:szCs w:val="28"/>
                <w:lang w:val="en-US" w:eastAsia="zh-CN" w:bidi="ar-SA"/>
              </w:rPr>
            </w:pPr>
            <w:r>
              <w:rPr>
                <w:rFonts w:hint="eastAsia" w:eastAsia="仿宋_GB2312" w:cs="仿宋_GB2312"/>
                <w:kern w:val="2"/>
                <w:sz w:val="28"/>
                <w:szCs w:val="28"/>
                <w:lang w:val="en-US" w:eastAsia="zh-CN" w:bidi="ar-SA"/>
              </w:rPr>
              <w:t>区妇联</w:t>
            </w:r>
          </w:p>
          <w:p w14:paraId="37A59BD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仿宋_GB2312"/>
                <w:kern w:val="2"/>
                <w:sz w:val="28"/>
                <w:szCs w:val="28"/>
                <w:lang w:val="en-US" w:eastAsia="zh-CN" w:bidi="ar-SA"/>
              </w:rPr>
            </w:pPr>
            <w:r>
              <w:rPr>
                <w:rFonts w:hint="eastAsia" w:eastAsia="仿宋_GB2312" w:cs="仿宋_GB2312"/>
                <w:kern w:val="2"/>
                <w:sz w:val="28"/>
                <w:szCs w:val="28"/>
                <w:lang w:val="en-US" w:eastAsia="zh-CN" w:bidi="ar-SA"/>
              </w:rPr>
              <w:t>区科协</w:t>
            </w:r>
          </w:p>
        </w:tc>
      </w:tr>
      <w:tr w14:paraId="09CD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noWrap w:val="0"/>
            <w:vAlign w:val="center"/>
          </w:tcPr>
          <w:p w14:paraId="055B73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1</w:t>
            </w:r>
            <w:r>
              <w:rPr>
                <w:rFonts w:hint="eastAsia" w:eastAsia="仿宋_GB2312" w:cs="仿宋_GB2312"/>
                <w:b w:val="0"/>
                <w:bCs w:val="0"/>
                <w:color w:val="000000"/>
                <w:sz w:val="28"/>
                <w:szCs w:val="28"/>
                <w:lang w:val="en-US" w:eastAsia="zh-CN"/>
              </w:rPr>
              <w:t>1</w:t>
            </w:r>
          </w:p>
        </w:tc>
        <w:tc>
          <w:tcPr>
            <w:tcW w:w="1375" w:type="dxa"/>
            <w:vMerge w:val="continue"/>
            <w:noWrap w:val="0"/>
            <w:vAlign w:val="center"/>
          </w:tcPr>
          <w:p w14:paraId="2E412F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color w:val="000000"/>
                <w:sz w:val="28"/>
                <w:szCs w:val="28"/>
                <w:lang w:val="en-US" w:eastAsia="zh-CN"/>
              </w:rPr>
            </w:pPr>
          </w:p>
        </w:tc>
        <w:tc>
          <w:tcPr>
            <w:tcW w:w="1429" w:type="dxa"/>
            <w:tcBorders>
              <w:right w:val="single" w:color="auto" w:sz="4" w:space="0"/>
            </w:tcBorders>
            <w:noWrap w:val="0"/>
            <w:vAlign w:val="center"/>
          </w:tcPr>
          <w:p w14:paraId="0823E6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3</w:t>
            </w:r>
            <w:r>
              <w:rPr>
                <w:rFonts w:hint="default" w:ascii="Times New Roman" w:hAnsi="Times New Roman" w:eastAsia="仿宋_GB2312" w:cs="Times New Roman"/>
                <w:color w:val="000000"/>
                <w:sz w:val="28"/>
                <w:szCs w:val="28"/>
                <w:lang w:val="en-US" w:eastAsia="zh-CN"/>
              </w:rPr>
              <w:t>.开展职业技能提升行动</w:t>
            </w:r>
          </w:p>
        </w:tc>
        <w:tc>
          <w:tcPr>
            <w:tcW w:w="9049" w:type="dxa"/>
            <w:tcBorders>
              <w:left w:val="single" w:color="auto" w:sz="4" w:space="0"/>
            </w:tcBorders>
            <w:noWrap w:val="0"/>
            <w:vAlign w:val="center"/>
          </w:tcPr>
          <w:p w14:paraId="37A2030A">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构建职业教育、就业培训、技能提升相统一的产业工人终身技能形成体系。开展订单、定岗、定向等多种形式的培训。加大对重点行业领域高层次骨干专业技术人才培训力度，“十四五”期间培训高层次创新人才</w:t>
            </w:r>
            <w:r>
              <w:rPr>
                <w:rFonts w:hint="eastAsia" w:eastAsia="仿宋_GB2312" w:cs="Times New Roman"/>
                <w:color w:val="000000"/>
                <w:sz w:val="28"/>
                <w:szCs w:val="28"/>
                <w:lang w:val="en-US" w:eastAsia="zh-CN"/>
              </w:rPr>
              <w:t>300</w:t>
            </w:r>
            <w:r>
              <w:rPr>
                <w:rFonts w:hint="default" w:ascii="Times New Roman" w:hAnsi="Times New Roman" w:eastAsia="仿宋_GB2312" w:cs="Times New Roman"/>
                <w:color w:val="000000"/>
                <w:sz w:val="28"/>
                <w:szCs w:val="28"/>
                <w:lang w:val="en-US" w:eastAsia="zh-CN"/>
              </w:rPr>
              <w:t>人次。依托国家农民工职业技能提升计划、求学圆梦行动等,增加新生代农牧民工、大龄低技能农牧民工、进城务工人员等群体教育培训机会。</w:t>
            </w:r>
          </w:p>
        </w:tc>
        <w:tc>
          <w:tcPr>
            <w:tcW w:w="1350" w:type="dxa"/>
            <w:vMerge w:val="continue"/>
            <w:noWrap w:val="0"/>
            <w:vAlign w:val="center"/>
          </w:tcPr>
          <w:p w14:paraId="01CBAB0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0A8F186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sz w:val="28"/>
                <w:szCs w:val="28"/>
                <w:lang w:val="en-US" w:eastAsia="zh-CN"/>
              </w:rPr>
            </w:pPr>
            <w:r>
              <w:rPr>
                <w:rFonts w:hint="eastAsia" w:eastAsia="仿宋_GB2312" w:cs="仿宋_GB2312"/>
                <w:sz w:val="28"/>
                <w:szCs w:val="28"/>
                <w:lang w:val="en-US" w:eastAsia="zh-CN"/>
              </w:rPr>
              <w:t>区科技</w:t>
            </w:r>
            <w:r>
              <w:rPr>
                <w:rFonts w:hint="eastAsia" w:ascii="Times New Roman" w:hAnsi="Times New Roman" w:eastAsia="仿宋_GB2312" w:cs="仿宋_GB2312"/>
                <w:sz w:val="28"/>
                <w:szCs w:val="28"/>
                <w:lang w:val="en-US" w:eastAsia="zh-CN"/>
              </w:rPr>
              <w:t>局</w:t>
            </w:r>
          </w:p>
          <w:p w14:paraId="0001F25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eastAsia="仿宋_GB2312" w:cs="仿宋_GB2312"/>
                <w:kern w:val="2"/>
                <w:sz w:val="28"/>
                <w:szCs w:val="28"/>
                <w:lang w:val="en-US" w:eastAsia="zh-CN" w:bidi="ar-SA"/>
              </w:rPr>
              <w:t>人社</w:t>
            </w:r>
            <w:r>
              <w:rPr>
                <w:rFonts w:hint="eastAsia" w:ascii="Times New Roman" w:hAnsi="Times New Roman" w:eastAsia="仿宋_GB2312" w:cs="仿宋_GB2312"/>
                <w:kern w:val="2"/>
                <w:sz w:val="28"/>
                <w:szCs w:val="28"/>
                <w:lang w:val="en-US" w:eastAsia="zh-CN" w:bidi="ar-SA"/>
              </w:rPr>
              <w:t>局</w:t>
            </w:r>
          </w:p>
          <w:p w14:paraId="2720965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Times New Roman" w:hAnsi="Times New Roman" w:eastAsia="仿宋_GB2312" w:cs="仿宋_GB2312"/>
                <w:kern w:val="2"/>
                <w:sz w:val="28"/>
                <w:szCs w:val="28"/>
                <w:lang w:val="en-US" w:eastAsia="zh-CN" w:bidi="ar-SA"/>
              </w:rPr>
              <w:t>妇联</w:t>
            </w:r>
          </w:p>
        </w:tc>
      </w:tr>
      <w:tr w14:paraId="5418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71" w:type="dxa"/>
            <w:noWrap w:val="0"/>
            <w:vAlign w:val="center"/>
          </w:tcPr>
          <w:p w14:paraId="51BB5F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2952A7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1E7661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258C0C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7CD322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61AFA6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1257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571" w:type="dxa"/>
            <w:noWrap w:val="0"/>
            <w:vAlign w:val="center"/>
          </w:tcPr>
          <w:p w14:paraId="22C702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000000"/>
                <w:sz w:val="28"/>
                <w:szCs w:val="28"/>
                <w:lang w:val="en-US" w:eastAsia="zh-CN"/>
              </w:rPr>
            </w:pPr>
            <w:r>
              <w:rPr>
                <w:rFonts w:hint="eastAsia" w:ascii="Times New Roman" w:hAnsi="Times New Roman" w:eastAsia="仿宋_GB2312" w:cs="仿宋_GB2312"/>
                <w:b w:val="0"/>
                <w:bCs w:val="0"/>
                <w:color w:val="000000"/>
                <w:sz w:val="28"/>
                <w:szCs w:val="28"/>
                <w:lang w:val="en-US" w:eastAsia="zh-CN"/>
              </w:rPr>
              <w:t>1</w:t>
            </w:r>
            <w:r>
              <w:rPr>
                <w:rFonts w:hint="eastAsia" w:eastAsia="仿宋_GB2312" w:cs="仿宋_GB2312"/>
                <w:b w:val="0"/>
                <w:bCs w:val="0"/>
                <w:color w:val="000000"/>
                <w:sz w:val="28"/>
                <w:szCs w:val="28"/>
                <w:lang w:val="en-US" w:eastAsia="zh-CN"/>
              </w:rPr>
              <w:t>2</w:t>
            </w:r>
          </w:p>
        </w:tc>
        <w:tc>
          <w:tcPr>
            <w:tcW w:w="1375" w:type="dxa"/>
            <w:noWrap w:val="0"/>
            <w:vAlign w:val="center"/>
          </w:tcPr>
          <w:p w14:paraId="4C67E9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楷体_GB2312" w:cs="楷体_GB2312"/>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产业工人科学素质提升行动</w:t>
            </w:r>
          </w:p>
        </w:tc>
        <w:tc>
          <w:tcPr>
            <w:tcW w:w="1429" w:type="dxa"/>
            <w:tcBorders>
              <w:right w:val="single" w:color="auto" w:sz="4" w:space="0"/>
            </w:tcBorders>
            <w:noWrap w:val="0"/>
            <w:vAlign w:val="center"/>
          </w:tcPr>
          <w:p w14:paraId="63507F3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仿宋_GB2312"/>
                <w:b w:val="0"/>
                <w:bCs w:val="0"/>
                <w:color w:val="000000"/>
                <w:sz w:val="28"/>
                <w:szCs w:val="28"/>
                <w:lang w:val="en-US" w:eastAsia="zh-CN"/>
              </w:rPr>
              <w:t>4</w:t>
            </w:r>
            <w:r>
              <w:rPr>
                <w:rFonts w:hint="default" w:ascii="Times New Roman" w:hAnsi="Times New Roman" w:eastAsia="仿宋_GB2312" w:cs="Times New Roman"/>
                <w:b w:val="0"/>
                <w:bCs w:val="0"/>
                <w:sz w:val="28"/>
                <w:szCs w:val="28"/>
                <w:lang w:val="en-US" w:eastAsia="zh-CN"/>
              </w:rPr>
              <w:t>.发挥企业家提升产业工人科学素质的示范引领作用</w:t>
            </w:r>
          </w:p>
        </w:tc>
        <w:tc>
          <w:tcPr>
            <w:tcW w:w="9049" w:type="dxa"/>
            <w:tcBorders>
              <w:left w:val="single" w:color="auto" w:sz="4" w:space="0"/>
            </w:tcBorders>
            <w:noWrap w:val="0"/>
            <w:vAlign w:val="center"/>
          </w:tcPr>
          <w:p w14:paraId="71ACDC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弘扬企业家精神，提高企业家科学素质，引导企业家在爱国、创新、诚信、社会责任和国际视野等方面不断提升。鼓励企业积极培养使用创新型技能人才，在关键岗位、关键工序培养使用高技能人才。发挥学会、协会、研究会作用，引导、支持企业和社会组织开展职业能力水平评价。推动相关互联网企业做好快递员、网约工、互联网营销师等群体科学素质提升工作。</w:t>
            </w:r>
          </w:p>
        </w:tc>
        <w:tc>
          <w:tcPr>
            <w:tcW w:w="1350" w:type="dxa"/>
            <w:noWrap w:val="0"/>
            <w:vAlign w:val="center"/>
          </w:tcPr>
          <w:p w14:paraId="2C8B02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z w:val="28"/>
                <w:szCs w:val="28"/>
                <w:vertAlign w:val="baseline"/>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总工会</w:t>
            </w:r>
          </w:p>
        </w:tc>
        <w:tc>
          <w:tcPr>
            <w:tcW w:w="2058" w:type="dxa"/>
            <w:noWrap w:val="0"/>
            <w:vAlign w:val="center"/>
          </w:tcPr>
          <w:p w14:paraId="5EE5ED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委宣传部</w:t>
            </w:r>
          </w:p>
          <w:p w14:paraId="1E29F9F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区科技</w:t>
            </w:r>
            <w:r>
              <w:rPr>
                <w:rFonts w:hint="eastAsia" w:ascii="Times New Roman" w:hAnsi="Times New Roman" w:eastAsia="仿宋_GB2312" w:cs="仿宋_GB2312"/>
                <w:sz w:val="28"/>
                <w:szCs w:val="28"/>
                <w:lang w:val="en-US" w:eastAsia="zh-CN"/>
              </w:rPr>
              <w:t>局</w:t>
            </w:r>
          </w:p>
          <w:p w14:paraId="11D9EE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工信局</w:t>
            </w:r>
          </w:p>
          <w:p w14:paraId="4D7B92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人社局</w:t>
            </w:r>
          </w:p>
          <w:p w14:paraId="5F365E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总工会</w:t>
            </w:r>
          </w:p>
          <w:p w14:paraId="7A25652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妇联</w:t>
            </w:r>
          </w:p>
          <w:p w14:paraId="170C63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工商联</w:t>
            </w:r>
          </w:p>
          <w:p w14:paraId="4D4D99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2"/>
                <w:sz w:val="21"/>
                <w:szCs w:val="20"/>
                <w:lang w:val="en-US" w:eastAsia="zh-CN" w:bidi="ar-SA"/>
              </w:rPr>
            </w:pPr>
            <w:r>
              <w:rPr>
                <w:rFonts w:hint="eastAsia" w:eastAsia="仿宋_GB2312" w:cs="仿宋_GB2312"/>
                <w:sz w:val="28"/>
                <w:szCs w:val="28"/>
                <w:lang w:val="en-US" w:eastAsia="zh-CN"/>
              </w:rPr>
              <w:t>区</w:t>
            </w:r>
            <w:r>
              <w:rPr>
                <w:rFonts w:hint="eastAsia" w:ascii="仿宋_GB2312" w:hAnsi="仿宋_GB2312" w:eastAsia="仿宋_GB2312" w:cs="仿宋_GB2312"/>
                <w:kern w:val="2"/>
                <w:sz w:val="28"/>
                <w:szCs w:val="28"/>
                <w:lang w:val="en-US" w:eastAsia="zh-CN" w:bidi="ar-SA"/>
              </w:rPr>
              <w:t>科协</w:t>
            </w:r>
          </w:p>
        </w:tc>
      </w:tr>
      <w:tr w14:paraId="2639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571" w:type="dxa"/>
            <w:noWrap w:val="0"/>
            <w:vAlign w:val="center"/>
          </w:tcPr>
          <w:p w14:paraId="78FFF0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i w:val="0"/>
                <w:caps w:val="0"/>
                <w:color w:val="333333"/>
                <w:spacing w:val="0"/>
                <w:kern w:val="2"/>
                <w:sz w:val="28"/>
                <w:szCs w:val="28"/>
                <w:shd w:val="clear" w:color="auto" w:fill="FFFFFF"/>
                <w:lang w:val="en-US" w:eastAsia="zh-CN" w:bidi="ar-SA"/>
              </w:rPr>
            </w:pPr>
            <w:r>
              <w:rPr>
                <w:rFonts w:hint="eastAsia" w:ascii="Times New Roman" w:hAnsi="Times New Roman" w:eastAsia="仿宋_GB2312" w:cs="仿宋_GB2312"/>
                <w:b w:val="0"/>
                <w:bCs w:val="0"/>
                <w:i w:val="0"/>
                <w:caps w:val="0"/>
                <w:color w:val="333333"/>
                <w:spacing w:val="0"/>
                <w:kern w:val="2"/>
                <w:sz w:val="28"/>
                <w:szCs w:val="28"/>
                <w:shd w:val="clear" w:color="auto" w:fill="FFFFFF"/>
                <w:lang w:val="en-US" w:eastAsia="zh-CN" w:bidi="ar-SA"/>
              </w:rPr>
              <w:t>1</w:t>
            </w:r>
            <w:r>
              <w:rPr>
                <w:rFonts w:hint="eastAsia" w:eastAsia="仿宋_GB2312" w:cs="仿宋_GB2312"/>
                <w:b w:val="0"/>
                <w:bCs w:val="0"/>
                <w:i w:val="0"/>
                <w:caps w:val="0"/>
                <w:color w:val="333333"/>
                <w:spacing w:val="0"/>
                <w:kern w:val="2"/>
                <w:sz w:val="28"/>
                <w:szCs w:val="28"/>
                <w:shd w:val="clear" w:color="auto" w:fill="FFFFFF"/>
                <w:lang w:val="en-US" w:eastAsia="zh-CN" w:bidi="ar-SA"/>
              </w:rPr>
              <w:t>3</w:t>
            </w:r>
          </w:p>
        </w:tc>
        <w:tc>
          <w:tcPr>
            <w:tcW w:w="1375" w:type="dxa"/>
            <w:vMerge w:val="restart"/>
            <w:noWrap w:val="0"/>
            <w:vAlign w:val="center"/>
          </w:tcPr>
          <w:p w14:paraId="1BFBCA1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楷体_GB2312" w:cs="楷体_GB2312"/>
                <w:b/>
                <w:bCs/>
                <w:sz w:val="28"/>
                <w:szCs w:val="28"/>
                <w:lang w:val="en-US" w:eastAsia="zh-CN"/>
              </w:rPr>
            </w:pPr>
            <w:r>
              <w:rPr>
                <w:rFonts w:hint="eastAsia" w:ascii="Times New Roman" w:hAnsi="Times New Roman" w:eastAsia="仿宋_GB2312" w:cs="仿宋_GB2312"/>
                <w:b/>
                <w:bCs/>
                <w:i w:val="0"/>
                <w:caps w:val="0"/>
                <w:color w:val="333333"/>
                <w:spacing w:val="0"/>
                <w:kern w:val="2"/>
                <w:sz w:val="28"/>
                <w:szCs w:val="28"/>
                <w:shd w:val="clear" w:color="auto" w:fill="FFFFFF"/>
                <w:lang w:val="en-US" w:eastAsia="zh-CN" w:bidi="ar-SA"/>
              </w:rPr>
              <w:t>老年人科学素质提升行动</w:t>
            </w:r>
          </w:p>
        </w:tc>
        <w:tc>
          <w:tcPr>
            <w:tcW w:w="1429" w:type="dxa"/>
            <w:tcBorders>
              <w:right w:val="single" w:color="auto" w:sz="4" w:space="0"/>
            </w:tcBorders>
            <w:noWrap w:val="0"/>
            <w:vAlign w:val="center"/>
          </w:tcPr>
          <w:p w14:paraId="2059315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仿宋_GB2312"/>
                <w:b w:val="0"/>
                <w:bCs w:val="0"/>
                <w:i w:val="0"/>
                <w:caps w:val="0"/>
                <w:color w:val="333333"/>
                <w:spacing w:val="0"/>
                <w:kern w:val="2"/>
                <w:sz w:val="28"/>
                <w:szCs w:val="28"/>
                <w:shd w:val="clear" w:color="auto" w:fill="FFFFFF"/>
                <w:lang w:val="en-US" w:eastAsia="zh-CN" w:bidi="ar-SA"/>
              </w:rPr>
              <w:t>1</w:t>
            </w:r>
            <w:r>
              <w:rPr>
                <w:rFonts w:hint="default" w:ascii="Times New Roman" w:hAnsi="Times New Roman" w:eastAsia="仿宋_GB2312" w:cs="Times New Roman"/>
                <w:color w:val="000000"/>
                <w:sz w:val="28"/>
                <w:szCs w:val="28"/>
                <w:lang w:val="en-US" w:eastAsia="zh-CN"/>
              </w:rPr>
              <w:t>.</w:t>
            </w:r>
            <w:r>
              <w:rPr>
                <w:rFonts w:hint="eastAsia" w:ascii="Times New Roman" w:hAnsi="Times New Roman" w:eastAsia="仿宋_GB2312" w:cs="Times New Roman"/>
                <w:color w:val="000000"/>
                <w:sz w:val="28"/>
                <w:szCs w:val="28"/>
                <w:lang w:val="en-US" w:eastAsia="zh-CN"/>
              </w:rPr>
              <w:t>开展</w:t>
            </w:r>
            <w:r>
              <w:rPr>
                <w:rFonts w:hint="default" w:ascii="Times New Roman" w:hAnsi="Times New Roman" w:eastAsia="仿宋_GB2312" w:cs="Times New Roman"/>
                <w:color w:val="000000"/>
                <w:sz w:val="28"/>
                <w:szCs w:val="28"/>
                <w:lang w:val="en-US" w:eastAsia="zh-CN"/>
              </w:rPr>
              <w:t>智慧助老行动</w:t>
            </w:r>
          </w:p>
        </w:tc>
        <w:tc>
          <w:tcPr>
            <w:tcW w:w="9049" w:type="dxa"/>
            <w:tcBorders>
              <w:left w:val="single" w:color="auto" w:sz="4" w:space="0"/>
            </w:tcBorders>
            <w:noWrap w:val="0"/>
            <w:vAlign w:val="center"/>
          </w:tcPr>
          <w:p w14:paraId="0DFCA38C">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加强家庭、社区、社会协同，提高老年人科学素养和信息素养。充分发挥科普专家服务团、科技志愿服务队、科普信息员作用，依托老年大学、社区科普大学、养老服务机构、网络运营企业等机构，普及智能技术知识和技能。</w:t>
            </w:r>
          </w:p>
        </w:tc>
        <w:tc>
          <w:tcPr>
            <w:tcW w:w="1350" w:type="dxa"/>
            <w:vMerge w:val="restart"/>
            <w:noWrap w:val="0"/>
            <w:vAlign w:val="center"/>
          </w:tcPr>
          <w:p w14:paraId="1675EA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pacing w:val="-2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pacing w:val="0"/>
                <w:sz w:val="28"/>
                <w:szCs w:val="28"/>
                <w:lang w:val="en-US" w:eastAsia="zh-CN"/>
              </w:rPr>
              <w:t>卫健委</w:t>
            </w:r>
          </w:p>
        </w:tc>
        <w:tc>
          <w:tcPr>
            <w:tcW w:w="2058" w:type="dxa"/>
            <w:noWrap w:val="0"/>
            <w:vAlign w:val="center"/>
          </w:tcPr>
          <w:p w14:paraId="25A908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z w:val="28"/>
                <w:szCs w:val="28"/>
                <w:lang w:eastAsia="zh-CN"/>
              </w:rPr>
            </w:pPr>
            <w:r>
              <w:rPr>
                <w:rFonts w:hint="eastAsia" w:eastAsia="仿宋_GB2312" w:cs="仿宋_GB2312"/>
                <w:sz w:val="28"/>
                <w:szCs w:val="28"/>
                <w:lang w:val="en-US" w:eastAsia="zh-CN"/>
              </w:rPr>
              <w:t>区</w:t>
            </w:r>
            <w:r>
              <w:rPr>
                <w:rFonts w:hint="default" w:eastAsia="仿宋_GB2312" w:cs="Times New Roman"/>
                <w:color w:val="000000"/>
                <w:sz w:val="28"/>
                <w:szCs w:val="28"/>
                <w:lang w:eastAsia="zh-CN"/>
              </w:rPr>
              <w:t>委老干局</w:t>
            </w:r>
          </w:p>
          <w:p w14:paraId="7A9A27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default" w:ascii="Times New Roman" w:hAnsi="Times New Roman" w:eastAsia="仿宋_GB2312" w:cs="Times New Roman"/>
                <w:color w:val="000000"/>
                <w:sz w:val="28"/>
                <w:szCs w:val="28"/>
                <w:lang w:val="en-US" w:eastAsia="zh-CN"/>
              </w:rPr>
              <w:t>公安</w:t>
            </w:r>
            <w:r>
              <w:rPr>
                <w:rFonts w:hint="eastAsia" w:eastAsia="仿宋_GB2312" w:cs="Times New Roman"/>
                <w:color w:val="000000"/>
                <w:sz w:val="28"/>
                <w:szCs w:val="28"/>
                <w:lang w:val="en-US" w:eastAsia="zh-CN"/>
              </w:rPr>
              <w:t>分</w:t>
            </w:r>
            <w:r>
              <w:rPr>
                <w:rFonts w:hint="default" w:ascii="Times New Roman" w:hAnsi="Times New Roman" w:eastAsia="仿宋_GB2312" w:cs="Times New Roman"/>
                <w:color w:val="000000"/>
                <w:sz w:val="28"/>
                <w:szCs w:val="28"/>
                <w:lang w:val="en-US" w:eastAsia="zh-CN"/>
              </w:rPr>
              <w:t>局</w:t>
            </w:r>
          </w:p>
          <w:p w14:paraId="4B3B05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民政局</w:t>
            </w:r>
          </w:p>
          <w:p w14:paraId="43A6289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kern w:val="2"/>
                <w:sz w:val="21"/>
                <w:szCs w:val="20"/>
                <w:lang w:eastAsia="zh-CN" w:bidi="ar-SA"/>
              </w:rPr>
            </w:pPr>
            <w:r>
              <w:rPr>
                <w:rFonts w:hint="eastAsia" w:eastAsia="仿宋_GB2312" w:cs="仿宋_GB2312"/>
                <w:sz w:val="28"/>
                <w:szCs w:val="28"/>
                <w:lang w:val="en-US" w:eastAsia="zh-CN"/>
              </w:rPr>
              <w:t>区</w:t>
            </w:r>
            <w:r>
              <w:rPr>
                <w:rFonts w:hint="default" w:eastAsia="仿宋_GB2312" w:cs="Times New Roman"/>
                <w:color w:val="000000"/>
                <w:sz w:val="28"/>
                <w:szCs w:val="28"/>
                <w:lang w:eastAsia="zh-CN"/>
              </w:rPr>
              <w:t>科协</w:t>
            </w:r>
          </w:p>
        </w:tc>
      </w:tr>
      <w:tr w14:paraId="480A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71" w:type="dxa"/>
            <w:noWrap w:val="0"/>
            <w:vAlign w:val="center"/>
          </w:tcPr>
          <w:p w14:paraId="21F3D0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1</w:t>
            </w:r>
            <w:r>
              <w:rPr>
                <w:rFonts w:hint="eastAsia" w:eastAsia="仿宋_GB2312" w:cs="仿宋_GB2312"/>
                <w:b w:val="0"/>
                <w:bCs w:val="0"/>
                <w:sz w:val="28"/>
                <w:szCs w:val="28"/>
                <w:vertAlign w:val="baseline"/>
                <w:lang w:val="en-US" w:eastAsia="zh-CN"/>
              </w:rPr>
              <w:t>4</w:t>
            </w:r>
          </w:p>
        </w:tc>
        <w:tc>
          <w:tcPr>
            <w:tcW w:w="1375" w:type="dxa"/>
            <w:vMerge w:val="continue"/>
            <w:noWrap w:val="0"/>
            <w:vAlign w:val="center"/>
          </w:tcPr>
          <w:p w14:paraId="081FE1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sz w:val="28"/>
                <w:szCs w:val="28"/>
                <w:vertAlign w:val="baseline"/>
                <w:lang w:val="en-US" w:eastAsia="zh-CN"/>
              </w:rPr>
            </w:pPr>
          </w:p>
        </w:tc>
        <w:tc>
          <w:tcPr>
            <w:tcW w:w="1429" w:type="dxa"/>
            <w:tcBorders>
              <w:right w:val="single" w:color="auto" w:sz="4" w:space="0"/>
            </w:tcBorders>
            <w:noWrap w:val="0"/>
            <w:vAlign w:val="center"/>
          </w:tcPr>
          <w:p w14:paraId="235C4BE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仿宋_GB2312"/>
                <w:b w:val="0"/>
                <w:bCs w:val="0"/>
                <w:i w:val="0"/>
                <w:caps w:val="0"/>
                <w:color w:val="333333"/>
                <w:spacing w:val="0"/>
                <w:kern w:val="2"/>
                <w:sz w:val="28"/>
                <w:szCs w:val="28"/>
                <w:shd w:val="clear" w:color="auto" w:fill="FFFFFF"/>
                <w:lang w:eastAsia="zh-CN" w:bidi="ar-SA"/>
              </w:rPr>
              <w:t>2</w:t>
            </w:r>
            <w:r>
              <w:rPr>
                <w:rFonts w:hint="default" w:ascii="Times New Roman" w:hAnsi="Times New Roman" w:eastAsia="仿宋_GB2312" w:cs="Times New Roman"/>
                <w:color w:val="000000"/>
                <w:sz w:val="28"/>
                <w:szCs w:val="28"/>
                <w:lang w:val="en-US" w:eastAsia="zh-CN"/>
              </w:rPr>
              <w:t>.加强老年人健康科普服务</w:t>
            </w:r>
          </w:p>
        </w:tc>
        <w:tc>
          <w:tcPr>
            <w:tcW w:w="9049" w:type="dxa"/>
            <w:tcBorders>
              <w:left w:val="single" w:color="auto" w:sz="4" w:space="0"/>
            </w:tcBorders>
            <w:noWrap w:val="0"/>
            <w:vAlign w:val="center"/>
          </w:tcPr>
          <w:p w14:paraId="60046E0D">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推动老年人健康科普进社区、进乡村、进机构、进家庭，开展健康大讲堂、老年健康宣传周等活动。充分利用新时代文明实践</w:t>
            </w:r>
            <w:r>
              <w:rPr>
                <w:rFonts w:hint="eastAsia" w:ascii="Times New Roman" w:hAnsi="Times New Roman" w:eastAsia="仿宋_GB2312" w:cs="Times New Roman"/>
                <w:color w:val="000000"/>
                <w:sz w:val="28"/>
                <w:szCs w:val="28"/>
                <w:lang w:val="en-US" w:eastAsia="zh-CN"/>
              </w:rPr>
              <w:t>中心</w:t>
            </w:r>
            <w:r>
              <w:rPr>
                <w:rFonts w:hint="default" w:ascii="Times New Roman" w:hAnsi="Times New Roman" w:eastAsia="仿宋_GB2312" w:cs="Times New Roman"/>
                <w:color w:val="000000"/>
                <w:sz w:val="28"/>
                <w:szCs w:val="28"/>
                <w:lang w:val="en-US" w:eastAsia="zh-CN"/>
              </w:rPr>
              <w:t>、党群服务中心等阵地为老年人提供健康科普服务，提高科普设施服务适老化程度。</w:t>
            </w:r>
          </w:p>
        </w:tc>
        <w:tc>
          <w:tcPr>
            <w:tcW w:w="1350" w:type="dxa"/>
            <w:vMerge w:val="continue"/>
            <w:noWrap w:val="0"/>
            <w:vAlign w:val="center"/>
          </w:tcPr>
          <w:p w14:paraId="1EC120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3DF82B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default" w:ascii="Times New Roman" w:hAnsi="Times New Roman" w:eastAsia="仿宋_GB2312" w:cs="Times New Roman"/>
                <w:color w:val="000000"/>
                <w:sz w:val="28"/>
                <w:szCs w:val="28"/>
                <w:lang w:val="en-US" w:eastAsia="zh-CN"/>
              </w:rPr>
              <w:t>民政局</w:t>
            </w:r>
          </w:p>
          <w:p w14:paraId="6F6B53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default" w:ascii="Times New Roman" w:hAnsi="Times New Roman" w:eastAsia="仿宋_GB2312" w:cs="Times New Roman"/>
                <w:color w:val="000000"/>
                <w:sz w:val="28"/>
                <w:szCs w:val="28"/>
                <w:lang w:val="en-US" w:eastAsia="zh-CN"/>
              </w:rPr>
              <w:t>市场</w:t>
            </w:r>
            <w:r>
              <w:rPr>
                <w:rFonts w:hint="eastAsia" w:eastAsia="仿宋_GB2312" w:cs="Times New Roman"/>
                <w:color w:val="000000"/>
                <w:sz w:val="28"/>
                <w:szCs w:val="28"/>
                <w:lang w:val="en-US" w:eastAsia="zh-CN"/>
              </w:rPr>
              <w:t>监管</w:t>
            </w:r>
            <w:r>
              <w:rPr>
                <w:rFonts w:hint="default" w:ascii="Times New Roman" w:hAnsi="Times New Roman" w:eastAsia="仿宋_GB2312" w:cs="Times New Roman"/>
                <w:color w:val="000000"/>
                <w:sz w:val="28"/>
                <w:szCs w:val="28"/>
                <w:lang w:val="en-US" w:eastAsia="zh-CN"/>
              </w:rPr>
              <w:t>局</w:t>
            </w:r>
          </w:p>
          <w:p w14:paraId="4439EF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pacing w:val="-28"/>
                <w:sz w:val="28"/>
                <w:szCs w:val="28"/>
                <w:lang w:val="en-US" w:eastAsia="zh-CN"/>
              </w:rPr>
            </w:pPr>
            <w:r>
              <w:rPr>
                <w:rFonts w:hint="eastAsia" w:ascii="Times New Roman" w:hAnsi="Times New Roman" w:eastAsia="仿宋_GB2312" w:cs="Times New Roman"/>
                <w:color w:val="000000"/>
                <w:spacing w:val="-28"/>
                <w:sz w:val="28"/>
                <w:szCs w:val="28"/>
                <w:lang w:val="en-US" w:eastAsia="zh-CN"/>
              </w:rPr>
              <w:t>区文体旅游广电</w:t>
            </w:r>
            <w:r>
              <w:rPr>
                <w:rFonts w:hint="default" w:ascii="Times New Roman" w:hAnsi="Times New Roman" w:eastAsia="仿宋_GB2312" w:cs="Times New Roman"/>
                <w:color w:val="000000"/>
                <w:spacing w:val="-28"/>
                <w:sz w:val="28"/>
                <w:szCs w:val="28"/>
                <w:lang w:val="en-US" w:eastAsia="zh-CN"/>
              </w:rPr>
              <w:t>局</w:t>
            </w:r>
          </w:p>
          <w:p w14:paraId="747DD1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eastAsia="仿宋_GB2312" w:cs="Times New Roman"/>
                <w:color w:val="000000"/>
                <w:sz w:val="28"/>
                <w:szCs w:val="28"/>
                <w:lang w:eastAsia="zh-CN"/>
              </w:rPr>
            </w:pPr>
            <w:r>
              <w:rPr>
                <w:rFonts w:hint="eastAsia" w:eastAsia="仿宋_GB2312" w:cs="仿宋_GB2312"/>
                <w:sz w:val="28"/>
                <w:szCs w:val="28"/>
                <w:lang w:val="en-US" w:eastAsia="zh-CN"/>
              </w:rPr>
              <w:t>区</w:t>
            </w:r>
            <w:r>
              <w:rPr>
                <w:rFonts w:hint="default" w:eastAsia="仿宋_GB2312" w:cs="Times New Roman"/>
                <w:color w:val="000000"/>
                <w:sz w:val="28"/>
                <w:szCs w:val="28"/>
                <w:lang w:eastAsia="zh-CN"/>
              </w:rPr>
              <w:t>妇联</w:t>
            </w:r>
          </w:p>
          <w:p w14:paraId="4220C6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eastAsia="宋体" w:cs="Times New Roman"/>
                <w:sz w:val="21"/>
                <w:szCs w:val="20"/>
                <w:lang w:val="en-US" w:eastAsia="zh-CN"/>
              </w:rPr>
            </w:pPr>
            <w:r>
              <w:rPr>
                <w:rFonts w:hint="eastAsia" w:eastAsia="仿宋_GB2312" w:cs="仿宋_GB2312"/>
                <w:sz w:val="28"/>
                <w:szCs w:val="28"/>
                <w:lang w:val="en-US" w:eastAsia="zh-CN"/>
              </w:rPr>
              <w:t>区</w:t>
            </w:r>
            <w:r>
              <w:rPr>
                <w:rFonts w:hint="default" w:ascii="Times New Roman" w:hAnsi="Times New Roman" w:eastAsia="仿宋_GB2312" w:cs="Times New Roman"/>
                <w:color w:val="000000"/>
                <w:sz w:val="28"/>
                <w:szCs w:val="28"/>
                <w:lang w:val="en-US" w:eastAsia="zh-CN"/>
              </w:rPr>
              <w:t>科协</w:t>
            </w:r>
          </w:p>
          <w:p w14:paraId="653AFB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2"/>
                <w:sz w:val="21"/>
                <w:szCs w:val="20"/>
                <w:lang w:eastAsia="zh-CN" w:bidi="ar-SA"/>
              </w:rPr>
            </w:pPr>
            <w:r>
              <w:rPr>
                <w:rFonts w:hint="eastAsia" w:ascii="Times New Roman" w:hAnsi="Times New Roman" w:eastAsia="仿宋_GB2312" w:cs="Times New Roman"/>
                <w:color w:val="000000"/>
                <w:spacing w:val="-28"/>
                <w:sz w:val="28"/>
                <w:szCs w:val="28"/>
                <w:lang w:val="en-US" w:eastAsia="zh-CN"/>
              </w:rPr>
              <w:t>各街道办事处、镇</w:t>
            </w:r>
          </w:p>
        </w:tc>
      </w:tr>
      <w:tr w14:paraId="3F22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571" w:type="dxa"/>
            <w:noWrap w:val="0"/>
            <w:vAlign w:val="center"/>
          </w:tcPr>
          <w:p w14:paraId="786B3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1</w:t>
            </w:r>
            <w:r>
              <w:rPr>
                <w:rFonts w:hint="eastAsia" w:eastAsia="仿宋_GB2312" w:cs="仿宋_GB2312"/>
                <w:b w:val="0"/>
                <w:bCs w:val="0"/>
                <w:sz w:val="28"/>
                <w:szCs w:val="28"/>
                <w:vertAlign w:val="baseline"/>
                <w:lang w:val="en-US" w:eastAsia="zh-CN"/>
              </w:rPr>
              <w:t>5</w:t>
            </w:r>
          </w:p>
        </w:tc>
        <w:tc>
          <w:tcPr>
            <w:tcW w:w="1375" w:type="dxa"/>
            <w:vMerge w:val="continue"/>
            <w:noWrap w:val="0"/>
            <w:vAlign w:val="center"/>
          </w:tcPr>
          <w:p w14:paraId="1C328D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sz w:val="28"/>
                <w:szCs w:val="28"/>
                <w:vertAlign w:val="baseline"/>
                <w:lang w:val="en-US" w:eastAsia="zh-CN"/>
              </w:rPr>
            </w:pPr>
          </w:p>
        </w:tc>
        <w:tc>
          <w:tcPr>
            <w:tcW w:w="1429" w:type="dxa"/>
            <w:tcBorders>
              <w:right w:val="single" w:color="auto" w:sz="4" w:space="0"/>
            </w:tcBorders>
            <w:noWrap w:val="0"/>
            <w:vAlign w:val="center"/>
          </w:tcPr>
          <w:p w14:paraId="7D404E2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仿宋_GB2312"/>
                <w:b w:val="0"/>
                <w:bCs w:val="0"/>
                <w:i w:val="0"/>
                <w:caps w:val="0"/>
                <w:color w:val="333333"/>
                <w:spacing w:val="0"/>
                <w:kern w:val="2"/>
                <w:sz w:val="28"/>
                <w:szCs w:val="28"/>
                <w:shd w:val="clear" w:color="auto" w:fill="FFFFFF"/>
                <w:lang w:eastAsia="zh-CN" w:bidi="ar-SA"/>
              </w:rPr>
              <w:t>3</w:t>
            </w:r>
            <w:r>
              <w:rPr>
                <w:rFonts w:hint="default" w:ascii="Times New Roman" w:hAnsi="Times New Roman" w:eastAsia="仿宋_GB2312" w:cs="Times New Roman"/>
                <w:color w:val="000000"/>
                <w:sz w:val="28"/>
                <w:szCs w:val="28"/>
                <w:lang w:val="en-US" w:eastAsia="zh-CN"/>
              </w:rPr>
              <w:t>.实施银龄科普行动</w:t>
            </w:r>
          </w:p>
        </w:tc>
        <w:tc>
          <w:tcPr>
            <w:tcW w:w="9049" w:type="dxa"/>
            <w:noWrap w:val="0"/>
            <w:vAlign w:val="center"/>
          </w:tcPr>
          <w:p w14:paraId="733352A2">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积极开发老龄人力资源，大力发展老年协会、老科协等组织。发展壮大老年志愿者队伍，吸纳优秀老专家加入科普专家队伍，开展科普服务。发挥各成员单位优势，开发老年人乐于接受的各种科普资源，增加科普供给，充分利用各类科普场馆开展老年人科普活动。</w:t>
            </w:r>
          </w:p>
        </w:tc>
        <w:tc>
          <w:tcPr>
            <w:tcW w:w="1350" w:type="dxa"/>
            <w:vMerge w:val="continue"/>
            <w:noWrap w:val="0"/>
            <w:vAlign w:val="center"/>
          </w:tcPr>
          <w:p w14:paraId="4F34AB2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062FE2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区</w:t>
            </w:r>
            <w:r>
              <w:rPr>
                <w:rFonts w:hint="default" w:ascii="仿宋_GB2312" w:hAnsi="仿宋_GB2312" w:eastAsia="仿宋_GB2312" w:cs="仿宋_GB2312"/>
                <w:kern w:val="2"/>
                <w:sz w:val="28"/>
                <w:szCs w:val="28"/>
                <w:lang w:eastAsia="zh-CN" w:bidi="ar-SA"/>
              </w:rPr>
              <w:t>委老干局</w:t>
            </w:r>
          </w:p>
          <w:p w14:paraId="7D2C4AC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kern w:val="2"/>
                <w:sz w:val="28"/>
                <w:szCs w:val="28"/>
                <w:lang w:eastAsia="zh-CN" w:bidi="ar-SA"/>
              </w:rPr>
            </w:pPr>
            <w:r>
              <w:rPr>
                <w:rFonts w:hint="eastAsia" w:ascii="仿宋_GB2312" w:hAnsi="仿宋_GB2312" w:eastAsia="仿宋_GB2312" w:cs="仿宋_GB2312"/>
                <w:kern w:val="2"/>
                <w:sz w:val="28"/>
                <w:szCs w:val="28"/>
                <w:lang w:eastAsia="zh-CN" w:bidi="ar-SA"/>
              </w:rPr>
              <w:t>区</w:t>
            </w:r>
            <w:r>
              <w:rPr>
                <w:rFonts w:hint="eastAsia" w:ascii="仿宋_GB2312" w:hAnsi="仿宋_GB2312" w:eastAsia="仿宋_GB2312" w:cs="仿宋_GB2312"/>
                <w:kern w:val="2"/>
                <w:sz w:val="28"/>
                <w:szCs w:val="28"/>
                <w:lang w:val="en-US" w:eastAsia="zh-CN" w:bidi="ar-SA"/>
              </w:rPr>
              <w:t>科技</w:t>
            </w:r>
            <w:r>
              <w:rPr>
                <w:rFonts w:hint="default" w:ascii="仿宋_GB2312" w:hAnsi="仿宋_GB2312" w:eastAsia="仿宋_GB2312" w:cs="仿宋_GB2312"/>
                <w:kern w:val="2"/>
                <w:sz w:val="28"/>
                <w:szCs w:val="28"/>
                <w:lang w:eastAsia="zh-CN" w:bidi="ar-SA"/>
              </w:rPr>
              <w:t>局</w:t>
            </w:r>
          </w:p>
          <w:p w14:paraId="05E976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区民政局</w:t>
            </w:r>
          </w:p>
          <w:p w14:paraId="4294D12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kern w:val="2"/>
                <w:sz w:val="21"/>
                <w:szCs w:val="20"/>
                <w:lang w:val="en-US" w:eastAsia="zh-CN" w:bidi="ar-SA"/>
              </w:rPr>
            </w:pPr>
            <w:r>
              <w:rPr>
                <w:rFonts w:hint="eastAsia" w:ascii="仿宋_GB2312" w:hAnsi="仿宋_GB2312" w:eastAsia="仿宋_GB2312" w:cs="仿宋_GB2312"/>
                <w:kern w:val="2"/>
                <w:sz w:val="28"/>
                <w:szCs w:val="28"/>
                <w:lang w:val="en-US" w:eastAsia="zh-CN" w:bidi="ar-SA"/>
              </w:rPr>
              <w:t>区科协</w:t>
            </w:r>
          </w:p>
        </w:tc>
      </w:tr>
      <w:tr w14:paraId="15B9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71" w:type="dxa"/>
            <w:noWrap w:val="0"/>
            <w:vAlign w:val="center"/>
          </w:tcPr>
          <w:p w14:paraId="49F1B6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34EC39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1856FF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2FECC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5B6A31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6AE608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744A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571" w:type="dxa"/>
            <w:noWrap w:val="0"/>
            <w:vAlign w:val="center"/>
          </w:tcPr>
          <w:p w14:paraId="5A6B1E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color w:val="000000"/>
                <w:kern w:val="2"/>
                <w:sz w:val="28"/>
                <w:szCs w:val="28"/>
                <w:lang w:val="en-US" w:eastAsia="zh-CN" w:bidi="ar-SA"/>
              </w:rPr>
            </w:pPr>
            <w:r>
              <w:rPr>
                <w:rFonts w:hint="eastAsia" w:eastAsia="仿宋_GB2312" w:cs="仿宋_GB2312"/>
                <w:b w:val="0"/>
                <w:bCs w:val="0"/>
                <w:color w:val="000000"/>
                <w:kern w:val="2"/>
                <w:sz w:val="28"/>
                <w:szCs w:val="28"/>
                <w:lang w:val="en-US" w:eastAsia="zh-CN" w:bidi="ar-SA"/>
              </w:rPr>
              <w:t>16</w:t>
            </w:r>
          </w:p>
        </w:tc>
        <w:tc>
          <w:tcPr>
            <w:tcW w:w="1375" w:type="dxa"/>
            <w:vMerge w:val="restart"/>
            <w:noWrap w:val="0"/>
            <w:vAlign w:val="center"/>
          </w:tcPr>
          <w:p w14:paraId="653EDA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color w:val="000000"/>
                <w:kern w:val="2"/>
                <w:sz w:val="28"/>
                <w:szCs w:val="28"/>
                <w:lang w:val="en-US" w:eastAsia="zh-CN" w:bidi="ar-SA"/>
              </w:rPr>
            </w:pPr>
            <w:r>
              <w:rPr>
                <w:rFonts w:hint="default" w:ascii="Times New Roman" w:hAnsi="Times New Roman" w:eastAsia="仿宋_GB2312" w:cs="Times New Roman"/>
                <w:b/>
                <w:bCs/>
                <w:color w:val="000000"/>
                <w:kern w:val="2"/>
                <w:sz w:val="28"/>
                <w:szCs w:val="28"/>
                <w:lang w:val="en-US" w:eastAsia="zh-CN" w:bidi="ar-SA"/>
              </w:rPr>
              <w:t>领导干部和公务员科学素质提升行动</w:t>
            </w:r>
          </w:p>
        </w:tc>
        <w:tc>
          <w:tcPr>
            <w:tcW w:w="1429" w:type="dxa"/>
            <w:noWrap w:val="0"/>
            <w:vAlign w:val="center"/>
          </w:tcPr>
          <w:p w14:paraId="5B668D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eastAsia" w:ascii="仿宋_GB2312" w:hAnsi="仿宋_GB2312" w:eastAsia="仿宋_GB2312" w:cs="仿宋_GB2312"/>
                <w:b w:val="0"/>
                <w:bCs w:val="0"/>
                <w:i w:val="0"/>
                <w:caps w:val="0"/>
                <w:color w:val="auto"/>
                <w:spacing w:val="0"/>
                <w:kern w:val="2"/>
                <w:sz w:val="28"/>
                <w:szCs w:val="28"/>
                <w:shd w:val="clear" w:color="auto" w:fill="FFFFFF"/>
                <w:lang w:val="en-US" w:eastAsia="zh-CN" w:bidi="ar-SA"/>
              </w:rPr>
              <w:t>1.深入贯彻落实新发展理念</w:t>
            </w:r>
          </w:p>
        </w:tc>
        <w:tc>
          <w:tcPr>
            <w:tcW w:w="9049" w:type="dxa"/>
            <w:noWrap w:val="0"/>
            <w:vAlign w:val="center"/>
          </w:tcPr>
          <w:p w14:paraId="3A0B6938">
            <w:pPr>
              <w:keepNext w:val="0"/>
              <w:keepLines w:val="0"/>
              <w:pageBreakBefore w:val="0"/>
              <w:widowControl w:val="0"/>
              <w:kinsoku/>
              <w:wordWrap/>
              <w:overflowPunct/>
              <w:topLinePunct w:val="0"/>
              <w:autoSpaceDE/>
              <w:autoSpaceDN/>
              <w:bidi w:val="0"/>
              <w:adjustRightInd w:val="0"/>
              <w:snapToGrid/>
              <w:spacing w:line="340" w:lineRule="exact"/>
              <w:ind w:firstLine="0" w:firstLineChars="0"/>
              <w:textAlignment w:val="auto"/>
              <w:rPr>
                <w:rFonts w:hint="default" w:ascii="Times New Roman" w:hAnsi="Times New Roman" w:eastAsia="仿宋_GB2312" w:cs="Times New Roman"/>
                <w:color w:val="000000"/>
                <w:kern w:val="2"/>
                <w:sz w:val="28"/>
                <w:szCs w:val="28"/>
                <w:lang w:val="en-US" w:eastAsia="zh-CN" w:bidi="ar-SA"/>
              </w:rPr>
            </w:pPr>
            <w:r>
              <w:rPr>
                <w:rFonts w:hint="eastAsia" w:ascii="仿宋_GB2312" w:hAnsi="仿宋_GB2312" w:eastAsia="仿宋_GB2312" w:cs="仿宋_GB2312"/>
                <w:b w:val="0"/>
                <w:bCs w:val="0"/>
                <w:i w:val="0"/>
                <w:caps w:val="0"/>
                <w:color w:val="auto"/>
                <w:spacing w:val="0"/>
                <w:kern w:val="2"/>
                <w:sz w:val="28"/>
                <w:szCs w:val="28"/>
                <w:highlight w:val="none"/>
                <w:u w:val="none"/>
                <w:shd w:val="clear" w:color="auto" w:fill="FFFFFF"/>
                <w:lang w:val="en-US" w:eastAsia="zh-CN" w:bidi="ar-SA"/>
              </w:rPr>
              <w:t>提高领导干部和公务员科学履职水平，强化对科学素质建设重要性和紧迫性的认识。加强前沿科技知识和全球科技发展趋势学习，突出科学精神、科学思想培养，增强把握科学发展规律的能力。</w:t>
            </w:r>
          </w:p>
        </w:tc>
        <w:tc>
          <w:tcPr>
            <w:tcW w:w="1350" w:type="dxa"/>
            <w:noWrap w:val="0"/>
            <w:vAlign w:val="center"/>
          </w:tcPr>
          <w:p w14:paraId="14D05ED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仿宋_GB2312"/>
                <w:b w:val="0"/>
                <w:bCs w:val="0"/>
                <w:i w:val="0"/>
                <w:caps w:val="0"/>
                <w:color w:val="333333"/>
                <w:spacing w:val="0"/>
                <w:kern w:val="2"/>
                <w:sz w:val="28"/>
                <w:szCs w:val="28"/>
                <w:shd w:val="clear" w:color="auto" w:fill="FFFFFF"/>
                <w:lang w:val="en-US" w:eastAsia="zh-CN" w:bidi="ar-SA"/>
              </w:rPr>
            </w:pPr>
            <w:r>
              <w:rPr>
                <w:rFonts w:hint="eastAsia" w:ascii="Times New Roman" w:hAnsi="Times New Roman" w:eastAsia="仿宋_GB2312" w:cs="Times New Roman"/>
                <w:color w:val="000000"/>
                <w:spacing w:val="-28"/>
                <w:sz w:val="28"/>
                <w:szCs w:val="28"/>
                <w:lang w:val="en-US" w:eastAsia="zh-CN"/>
              </w:rPr>
              <w:t>区委组织部</w:t>
            </w:r>
          </w:p>
        </w:tc>
        <w:tc>
          <w:tcPr>
            <w:tcW w:w="2058" w:type="dxa"/>
            <w:noWrap w:val="0"/>
            <w:vAlign w:val="center"/>
          </w:tcPr>
          <w:p w14:paraId="17000D8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仿宋_GB2312" w:cs="仿宋_GB2312"/>
                <w:kern w:val="2"/>
                <w:sz w:val="28"/>
                <w:szCs w:val="28"/>
                <w:lang w:val="en-US" w:eastAsia="zh-CN" w:bidi="ar-SA"/>
              </w:rPr>
            </w:pPr>
            <w:r>
              <w:rPr>
                <w:rFonts w:hint="eastAsia" w:eastAsia="仿宋_GB2312" w:cs="仿宋_GB2312"/>
                <w:sz w:val="28"/>
                <w:szCs w:val="28"/>
                <w:lang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6DE3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71" w:type="dxa"/>
            <w:noWrap w:val="0"/>
            <w:vAlign w:val="center"/>
          </w:tcPr>
          <w:p w14:paraId="28FF5F5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eastAsia="宋体" w:cs="Times New Roman"/>
                <w:sz w:val="21"/>
                <w:szCs w:val="20"/>
                <w:lang w:val="en-US" w:eastAsia="zh-CN"/>
              </w:rPr>
            </w:pPr>
            <w:r>
              <w:rPr>
                <w:rFonts w:hint="eastAsia" w:ascii="Times New Roman" w:hAnsi="Times New Roman" w:eastAsia="仿宋_GB2312" w:cs="仿宋_GB2312"/>
                <w:b w:val="0"/>
                <w:bCs w:val="0"/>
                <w:color w:val="000000"/>
                <w:kern w:val="2"/>
                <w:sz w:val="28"/>
                <w:szCs w:val="28"/>
                <w:lang w:val="en-US" w:eastAsia="zh-CN" w:bidi="ar-SA"/>
              </w:rPr>
              <w:t>17</w:t>
            </w:r>
          </w:p>
        </w:tc>
        <w:tc>
          <w:tcPr>
            <w:tcW w:w="1375" w:type="dxa"/>
            <w:vMerge w:val="continue"/>
            <w:noWrap w:val="0"/>
            <w:vAlign w:val="center"/>
          </w:tcPr>
          <w:p w14:paraId="762D101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eastAsia="宋体" w:cs="Times New Roman"/>
                <w:sz w:val="21"/>
                <w:szCs w:val="20"/>
              </w:rPr>
            </w:pPr>
          </w:p>
        </w:tc>
        <w:tc>
          <w:tcPr>
            <w:tcW w:w="1429" w:type="dxa"/>
            <w:noWrap w:val="0"/>
            <w:vAlign w:val="center"/>
          </w:tcPr>
          <w:p w14:paraId="42341F6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仿宋_GB2312"/>
                <w:b w:val="0"/>
                <w:bCs w:val="0"/>
                <w:i w:val="0"/>
                <w:caps w:val="0"/>
                <w:color w:val="333333"/>
                <w:spacing w:val="0"/>
                <w:kern w:val="2"/>
                <w:sz w:val="28"/>
                <w:szCs w:val="28"/>
                <w:shd w:val="clear" w:color="auto" w:fill="FFFFFF"/>
                <w:lang w:eastAsia="zh-CN" w:bidi="ar-SA"/>
              </w:rPr>
            </w:pPr>
            <w:r>
              <w:rPr>
                <w:rFonts w:hint="default" w:ascii="Times New Roman" w:hAnsi="Times New Roman" w:eastAsia="仿宋_GB2312" w:cs="仿宋_GB2312"/>
                <w:b w:val="0"/>
                <w:bCs w:val="0"/>
                <w:i w:val="0"/>
                <w:caps w:val="0"/>
                <w:color w:val="333333"/>
                <w:spacing w:val="0"/>
                <w:kern w:val="2"/>
                <w:sz w:val="28"/>
                <w:szCs w:val="28"/>
                <w:shd w:val="clear" w:color="auto" w:fill="FFFFFF"/>
                <w:lang w:eastAsia="zh-CN" w:bidi="ar-SA"/>
              </w:rPr>
              <w:t>2</w:t>
            </w:r>
            <w:r>
              <w:rPr>
                <w:rFonts w:hint="default" w:ascii="Times New Roman" w:hAnsi="Times New Roman" w:eastAsia="仿宋_GB2312" w:cs="Times New Roman"/>
                <w:color w:val="000000"/>
                <w:sz w:val="28"/>
                <w:szCs w:val="28"/>
                <w:lang w:val="en-US" w:eastAsia="zh-CN"/>
              </w:rPr>
              <w:t>.加强科学素质教育</w:t>
            </w:r>
            <w:r>
              <w:rPr>
                <w:rFonts w:hint="eastAsia" w:ascii="Times New Roman" w:hAnsi="Times New Roman" w:eastAsia="仿宋_GB2312" w:cs="Times New Roman"/>
                <w:color w:val="000000"/>
                <w:sz w:val="28"/>
                <w:szCs w:val="28"/>
                <w:lang w:val="en-US" w:eastAsia="zh-CN"/>
              </w:rPr>
              <w:t>培训</w:t>
            </w:r>
          </w:p>
        </w:tc>
        <w:tc>
          <w:tcPr>
            <w:tcW w:w="9049" w:type="dxa"/>
            <w:noWrap w:val="0"/>
            <w:vAlign w:val="center"/>
          </w:tcPr>
          <w:p w14:paraId="1B744E8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仿宋_GB2312"/>
                <w:b w:val="0"/>
                <w:bCs w:val="0"/>
                <w:i w:val="0"/>
                <w:caps w:val="0"/>
                <w:color w:val="333333"/>
                <w:spacing w:val="0"/>
                <w:kern w:val="2"/>
                <w:sz w:val="28"/>
                <w:szCs w:val="28"/>
                <w:shd w:val="clear" w:color="auto" w:fill="FFFFFF"/>
                <w:lang w:eastAsia="zh-CN" w:bidi="ar-SA"/>
              </w:rPr>
            </w:pPr>
            <w:r>
              <w:rPr>
                <w:rFonts w:hint="default" w:ascii="Times New Roman" w:hAnsi="Times New Roman" w:eastAsia="仿宋_GB2312" w:cs="Times New Roman"/>
                <w:color w:val="000000"/>
                <w:kern w:val="2"/>
                <w:sz w:val="28"/>
                <w:szCs w:val="28"/>
                <w:lang w:val="en-US" w:eastAsia="zh-CN" w:bidi="ar-SA"/>
              </w:rPr>
              <w:t>认真贯彻落实《干部教育培训工作条例》《公务员培训规定》，加强领导干部和公务员科学素质教育培训。创新科学素质教育培训渠道和载体，充分利用“学习强国”等平台，打造领导干部和公务员提升科学素质的“身边课堂”。充分发挥区委党校等阵地作用，将科学素质教育培训列入教学计划。有针对性地举办科普报告会和专题科普讲座，引导和帮助领导干部和公务员强化科学思维，提高科学治理能力，提高应对重大突发公共安全事件的科学决策能力。</w:t>
            </w:r>
          </w:p>
        </w:tc>
        <w:tc>
          <w:tcPr>
            <w:tcW w:w="1350" w:type="dxa"/>
            <w:noWrap w:val="0"/>
            <w:vAlign w:val="center"/>
          </w:tcPr>
          <w:p w14:paraId="5F4A6E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仿宋_GB2312"/>
                <w:b w:val="0"/>
                <w:bCs w:val="0"/>
                <w:i w:val="0"/>
                <w:caps w:val="0"/>
                <w:color w:val="333333"/>
                <w:spacing w:val="0"/>
                <w:kern w:val="2"/>
                <w:sz w:val="28"/>
                <w:szCs w:val="28"/>
                <w:shd w:val="clear" w:color="auto" w:fill="FFFFFF"/>
                <w:lang w:val="en-US" w:eastAsia="zh-CN" w:bidi="ar-SA"/>
              </w:rPr>
            </w:pPr>
            <w:r>
              <w:rPr>
                <w:rFonts w:hint="eastAsia" w:ascii="Times New Roman" w:hAnsi="Times New Roman" w:eastAsia="仿宋_GB2312" w:cs="Times New Roman"/>
                <w:color w:val="000000"/>
                <w:spacing w:val="-28"/>
                <w:sz w:val="28"/>
                <w:szCs w:val="28"/>
                <w:lang w:val="en-US" w:eastAsia="zh-CN"/>
              </w:rPr>
              <w:t>区委组织部</w:t>
            </w:r>
          </w:p>
        </w:tc>
        <w:tc>
          <w:tcPr>
            <w:tcW w:w="2058" w:type="dxa"/>
            <w:noWrap w:val="0"/>
            <w:vAlign w:val="center"/>
          </w:tcPr>
          <w:p w14:paraId="4480084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仿宋_GB2312"/>
                <w:kern w:val="2"/>
                <w:sz w:val="28"/>
                <w:szCs w:val="28"/>
                <w:lang w:val="en-US" w:eastAsia="zh-CN" w:bidi="ar-SA"/>
              </w:rPr>
            </w:pPr>
            <w:r>
              <w:rPr>
                <w:rFonts w:hint="eastAsia" w:eastAsia="仿宋_GB2312" w:cs="仿宋_GB2312"/>
                <w:sz w:val="28"/>
                <w:szCs w:val="28"/>
                <w:lang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25B6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571" w:type="dxa"/>
            <w:tcBorders>
              <w:left w:val="single" w:color="auto" w:sz="4" w:space="0"/>
            </w:tcBorders>
            <w:noWrap w:val="0"/>
            <w:vAlign w:val="center"/>
          </w:tcPr>
          <w:p w14:paraId="1F4B3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18</w:t>
            </w:r>
          </w:p>
        </w:tc>
        <w:tc>
          <w:tcPr>
            <w:tcW w:w="1375" w:type="dxa"/>
            <w:vMerge w:val="restart"/>
            <w:tcBorders>
              <w:left w:val="single" w:color="auto" w:sz="4" w:space="0"/>
            </w:tcBorders>
            <w:noWrap w:val="0"/>
            <w:vAlign w:val="center"/>
          </w:tcPr>
          <w:p w14:paraId="3A50339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科技资源科普化工程</w:t>
            </w:r>
          </w:p>
        </w:tc>
        <w:tc>
          <w:tcPr>
            <w:tcW w:w="1429" w:type="dxa"/>
            <w:noWrap w:val="0"/>
            <w:vAlign w:val="center"/>
          </w:tcPr>
          <w:p w14:paraId="50AD9A3F">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1</w:t>
            </w:r>
            <w:r>
              <w:rPr>
                <w:rFonts w:hint="default" w:ascii="Times New Roman" w:hAnsi="Times New Roman" w:eastAsia="仿宋_GB2312" w:cs="Times New Roman"/>
                <w:color w:val="000000"/>
                <w:kern w:val="2"/>
                <w:sz w:val="28"/>
                <w:szCs w:val="28"/>
                <w:lang w:val="en-US" w:eastAsia="zh-CN" w:bidi="ar-SA"/>
              </w:rPr>
              <w:t>.建立完善</w:t>
            </w:r>
            <w:r>
              <w:rPr>
                <w:rFonts w:hint="eastAsia" w:ascii="Times New Roman" w:hAnsi="Times New Roman" w:eastAsia="仿宋_GB2312" w:cs="Times New Roman"/>
                <w:color w:val="000000"/>
                <w:kern w:val="2"/>
                <w:sz w:val="28"/>
                <w:szCs w:val="28"/>
                <w:lang w:val="en-US" w:eastAsia="zh-CN" w:bidi="ar-SA"/>
              </w:rPr>
              <w:t>科技资源科普化</w:t>
            </w:r>
            <w:r>
              <w:rPr>
                <w:rFonts w:hint="default" w:ascii="Times New Roman" w:hAnsi="Times New Roman" w:eastAsia="仿宋_GB2312" w:cs="Times New Roman"/>
                <w:color w:val="000000"/>
                <w:kern w:val="2"/>
                <w:sz w:val="28"/>
                <w:szCs w:val="28"/>
                <w:lang w:val="en-US" w:eastAsia="zh-CN" w:bidi="ar-SA"/>
              </w:rPr>
              <w:t>机制</w:t>
            </w:r>
          </w:p>
        </w:tc>
        <w:tc>
          <w:tcPr>
            <w:tcW w:w="9049" w:type="dxa"/>
            <w:noWrap w:val="0"/>
            <w:vAlign w:val="center"/>
          </w:tcPr>
          <w:p w14:paraId="2C419797">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建立完善科技资源科普化机制。不断增强全区科技创新主体科普责任意识，充分开发科技设施的科普功能，引导高校、科研院所、科技创新企业和社会研发组织等科技资源主体参与科技资源共建共享，融合拓宽科技资源科普化渠道，将科普工作纳入相关科技创新基地考核，引导企业和社会组织建立有效的科技资源科普化机制。</w:t>
            </w:r>
          </w:p>
        </w:tc>
        <w:tc>
          <w:tcPr>
            <w:tcW w:w="1350" w:type="dxa"/>
            <w:vMerge w:val="restart"/>
            <w:noWrap w:val="0"/>
            <w:vAlign w:val="center"/>
          </w:tcPr>
          <w:p w14:paraId="633EEB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pacing w:val="-28"/>
                <w:sz w:val="28"/>
                <w:szCs w:val="28"/>
                <w:lang w:val="en-US" w:eastAsia="zh-CN"/>
              </w:rPr>
              <w:t>区</w:t>
            </w:r>
            <w:r>
              <w:rPr>
                <w:rFonts w:hint="eastAsia" w:eastAsia="仿宋_GB2312" w:cs="Times New Roman"/>
                <w:color w:val="000000"/>
                <w:spacing w:val="-28"/>
                <w:sz w:val="28"/>
                <w:szCs w:val="28"/>
                <w:lang w:val="en-US" w:eastAsia="zh-CN"/>
              </w:rPr>
              <w:t>科技局</w:t>
            </w:r>
          </w:p>
        </w:tc>
        <w:tc>
          <w:tcPr>
            <w:tcW w:w="2058" w:type="dxa"/>
            <w:noWrap w:val="0"/>
            <w:vAlign w:val="center"/>
          </w:tcPr>
          <w:p w14:paraId="59F37D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仿宋_GB2312" w:cs="Times New Roman"/>
                <w:color w:val="000000"/>
                <w:sz w:val="28"/>
                <w:szCs w:val="28"/>
                <w:lang w:val="en-US" w:eastAsia="zh-CN"/>
              </w:rPr>
            </w:pPr>
            <w:r>
              <w:rPr>
                <w:rFonts w:hint="eastAsia" w:eastAsia="仿宋_GB2312" w:cs="Times New Roman"/>
                <w:color w:val="000000"/>
                <w:sz w:val="28"/>
                <w:szCs w:val="28"/>
                <w:lang w:val="en-US" w:eastAsia="zh-CN"/>
              </w:rPr>
              <w:t>区科技局</w:t>
            </w:r>
          </w:p>
          <w:p w14:paraId="568539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工信局</w:t>
            </w:r>
          </w:p>
          <w:p w14:paraId="25FEAE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人社局</w:t>
            </w:r>
          </w:p>
          <w:p w14:paraId="1F9DCC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8"/>
                <w:szCs w:val="28"/>
                <w:vertAlign w:val="baseline"/>
                <w:lang w:val="en-US" w:eastAsia="zh-CN" w:bidi="ar-SA"/>
              </w:rPr>
            </w:pPr>
            <w:r>
              <w:rPr>
                <w:rFonts w:hint="eastAsia" w:eastAsia="仿宋_GB2312" w:cs="Times New Roman"/>
                <w:color w:val="000000"/>
                <w:sz w:val="28"/>
                <w:szCs w:val="28"/>
                <w:lang w:val="en-US" w:eastAsia="zh-CN"/>
              </w:rPr>
              <w:t>区科协</w:t>
            </w:r>
          </w:p>
        </w:tc>
      </w:tr>
      <w:tr w14:paraId="546C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571" w:type="dxa"/>
            <w:tcBorders>
              <w:left w:val="single" w:color="auto" w:sz="4" w:space="0"/>
            </w:tcBorders>
            <w:noWrap w:val="0"/>
            <w:vAlign w:val="center"/>
          </w:tcPr>
          <w:p w14:paraId="39E9F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19</w:t>
            </w:r>
          </w:p>
        </w:tc>
        <w:tc>
          <w:tcPr>
            <w:tcW w:w="1375" w:type="dxa"/>
            <w:vMerge w:val="continue"/>
            <w:tcBorders>
              <w:left w:val="single" w:color="auto" w:sz="4" w:space="0"/>
            </w:tcBorders>
            <w:noWrap w:val="0"/>
            <w:vAlign w:val="center"/>
          </w:tcPr>
          <w:p w14:paraId="3602FBE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z w:val="28"/>
                <w:szCs w:val="28"/>
                <w:vertAlign w:val="baseline"/>
                <w:lang w:val="en-US" w:eastAsia="zh-CN"/>
              </w:rPr>
            </w:pPr>
          </w:p>
        </w:tc>
        <w:tc>
          <w:tcPr>
            <w:tcW w:w="1429" w:type="dxa"/>
            <w:noWrap w:val="0"/>
            <w:vAlign w:val="center"/>
          </w:tcPr>
          <w:p w14:paraId="07D8D468">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default" w:ascii="Times New Roman" w:hAnsi="Times New Roman" w:eastAsia="仿宋_GB2312" w:cs="Times New Roman"/>
                <w:color w:val="000000"/>
                <w:kern w:val="2"/>
                <w:sz w:val="28"/>
                <w:szCs w:val="28"/>
                <w:lang w:val="en-US" w:eastAsia="zh-CN" w:bidi="ar-SA"/>
              </w:rPr>
              <w:t>2.</w:t>
            </w:r>
            <w:r>
              <w:rPr>
                <w:rFonts w:hint="eastAsia" w:ascii="Times New Roman" w:hAnsi="Times New Roman" w:eastAsia="仿宋_GB2312" w:cs="Times New Roman"/>
                <w:color w:val="000000"/>
                <w:kern w:val="2"/>
                <w:sz w:val="28"/>
                <w:szCs w:val="28"/>
                <w:lang w:val="en-US" w:eastAsia="zh-CN" w:bidi="ar-SA"/>
              </w:rPr>
              <w:t>有效发挥科技设施科普化功能</w:t>
            </w:r>
          </w:p>
        </w:tc>
        <w:tc>
          <w:tcPr>
            <w:tcW w:w="9049" w:type="dxa"/>
            <w:noWrap w:val="0"/>
            <w:vAlign w:val="center"/>
          </w:tcPr>
          <w:p w14:paraId="1CD4BF06">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eastAsia" w:ascii="Times New Roman" w:hAnsi="Times New Roman" w:eastAsia="仿宋_GB2312" w:cs="Times New Roman"/>
                <w:color w:val="000000"/>
                <w:kern w:val="2"/>
                <w:sz w:val="28"/>
                <w:szCs w:val="28"/>
                <w:lang w:val="en-US" w:eastAsia="zh-CN" w:bidi="ar-SA"/>
              </w:rPr>
            </w:pPr>
          </w:p>
          <w:p w14:paraId="6084FA7B">
            <w:pPr>
              <w:keepNext w:val="0"/>
              <w:keepLines w:val="0"/>
              <w:pageBreakBefore w:val="0"/>
              <w:widowControl w:val="0"/>
              <w:kinsoku/>
              <w:wordWrap/>
              <w:overflowPunct/>
              <w:topLinePunct w:val="0"/>
              <w:autoSpaceDE w:val="0"/>
              <w:autoSpaceDN/>
              <w:bidi w:val="0"/>
              <w:adjustRightInd/>
              <w:snapToGrid/>
              <w:spacing w:line="320" w:lineRule="exact"/>
              <w:jc w:val="both"/>
              <w:textAlignment w:val="auto"/>
              <w:rPr>
                <w:rFonts w:hint="default"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kern w:val="2"/>
                <w:sz w:val="28"/>
                <w:szCs w:val="28"/>
                <w:lang w:val="en-US" w:eastAsia="zh-CN" w:bidi="ar-SA"/>
              </w:rPr>
              <w:t>有效发挥科技设施科普化功能。推动高等院校、科研机构、工程中心（实验室）、高新技术企业等</w:t>
            </w:r>
            <w:r>
              <w:rPr>
                <w:rFonts w:hint="default" w:ascii="Times New Roman" w:hAnsi="Times New Roman" w:eastAsia="仿宋_GB2312" w:cs="Times New Roman"/>
                <w:color w:val="000000"/>
                <w:kern w:val="2"/>
                <w:sz w:val="28"/>
                <w:szCs w:val="28"/>
                <w:lang w:val="en-US" w:eastAsia="zh-CN" w:bidi="ar-SA"/>
              </w:rPr>
              <w:t>在科技活动周暨科普活动宣传周、科技工作者日、全国科普日等时间节点</w:t>
            </w:r>
            <w:r>
              <w:rPr>
                <w:rFonts w:hint="eastAsia" w:ascii="Times New Roman" w:hAnsi="Times New Roman" w:eastAsia="仿宋_GB2312" w:cs="Times New Roman"/>
                <w:color w:val="000000"/>
                <w:kern w:val="2"/>
                <w:sz w:val="28"/>
                <w:szCs w:val="28"/>
                <w:lang w:val="en-US" w:eastAsia="zh-CN" w:bidi="ar-SA"/>
              </w:rPr>
              <w:t>向公众开放实验室等科技类设施，利用科技资源开展科普工作。引导支持园区、企业建设特色产业展示馆，不断提升企业科普服务职能。</w:t>
            </w:r>
          </w:p>
        </w:tc>
        <w:tc>
          <w:tcPr>
            <w:tcW w:w="1350" w:type="dxa"/>
            <w:vMerge w:val="continue"/>
            <w:noWrap w:val="0"/>
            <w:vAlign w:val="center"/>
          </w:tcPr>
          <w:p w14:paraId="26D8DDB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047C1C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z w:val="28"/>
                <w:szCs w:val="28"/>
                <w:lang w:val="en-US" w:eastAsia="zh-CN"/>
              </w:rPr>
            </w:pPr>
            <w:r>
              <w:rPr>
                <w:rFonts w:hint="eastAsia" w:eastAsia="仿宋_GB2312" w:cs="Times New Roman"/>
                <w:color w:val="000000"/>
                <w:sz w:val="28"/>
                <w:szCs w:val="28"/>
                <w:lang w:val="en-US" w:eastAsia="zh-CN"/>
              </w:rPr>
              <w:t>区科技局</w:t>
            </w:r>
          </w:p>
          <w:p w14:paraId="1D0D8B7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工信局</w:t>
            </w:r>
          </w:p>
          <w:p w14:paraId="511BD6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人社局</w:t>
            </w:r>
          </w:p>
          <w:p w14:paraId="705B812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0"/>
                <w:lang w:val="en-US" w:eastAsia="zh-CN"/>
              </w:rPr>
            </w:pPr>
            <w:r>
              <w:rPr>
                <w:rFonts w:hint="eastAsia" w:eastAsia="仿宋_GB2312" w:cs="Times New Roman"/>
                <w:color w:val="000000"/>
                <w:sz w:val="28"/>
                <w:szCs w:val="28"/>
                <w:lang w:val="en-US" w:eastAsia="zh-CN"/>
              </w:rPr>
              <w:t>区科协</w:t>
            </w:r>
          </w:p>
        </w:tc>
      </w:tr>
      <w:tr w14:paraId="6EB9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571" w:type="dxa"/>
            <w:tcBorders>
              <w:left w:val="single" w:color="auto" w:sz="4" w:space="0"/>
            </w:tcBorders>
            <w:noWrap w:val="0"/>
            <w:vAlign w:val="center"/>
          </w:tcPr>
          <w:p w14:paraId="1FC847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20</w:t>
            </w:r>
          </w:p>
        </w:tc>
        <w:tc>
          <w:tcPr>
            <w:tcW w:w="1375" w:type="dxa"/>
            <w:vMerge w:val="continue"/>
            <w:tcBorders>
              <w:left w:val="single" w:color="auto" w:sz="4" w:space="0"/>
            </w:tcBorders>
            <w:noWrap w:val="0"/>
            <w:vAlign w:val="center"/>
          </w:tcPr>
          <w:p w14:paraId="69EAD9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z w:val="28"/>
                <w:szCs w:val="28"/>
                <w:vertAlign w:val="baseline"/>
                <w:lang w:val="en-US" w:eastAsia="zh-CN"/>
              </w:rPr>
            </w:pPr>
          </w:p>
        </w:tc>
        <w:tc>
          <w:tcPr>
            <w:tcW w:w="1429" w:type="dxa"/>
            <w:noWrap w:val="0"/>
            <w:vAlign w:val="center"/>
          </w:tcPr>
          <w:p w14:paraId="35A928E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3</w:t>
            </w:r>
            <w:r>
              <w:rPr>
                <w:rFonts w:hint="default" w:ascii="Times New Roman" w:hAnsi="Times New Roman" w:eastAsia="仿宋_GB2312" w:cs="Times New Roman"/>
                <w:color w:val="000000"/>
                <w:sz w:val="28"/>
                <w:szCs w:val="28"/>
                <w:lang w:val="en-US" w:eastAsia="zh-CN"/>
              </w:rPr>
              <w:t>.强化科技工作者的科普责任</w:t>
            </w:r>
          </w:p>
        </w:tc>
        <w:tc>
          <w:tcPr>
            <w:tcW w:w="9049" w:type="dxa"/>
            <w:noWrap w:val="0"/>
            <w:vAlign w:val="center"/>
          </w:tcPr>
          <w:p w14:paraId="2B733F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引导广大科技工作者以提高全民科学素质为己任。推动科学技术奖获得者向公众解读、宣传、推广科技成果。鼓励更多科技工作者增强科普能力，针对社会热点、焦点问题，主动、及时、准确发声，营造科学理性的社会氛围。深入开展科学道德和学风建设宣讲活动。</w:t>
            </w:r>
          </w:p>
        </w:tc>
        <w:tc>
          <w:tcPr>
            <w:tcW w:w="1350" w:type="dxa"/>
            <w:vMerge w:val="continue"/>
            <w:noWrap w:val="0"/>
            <w:vAlign w:val="center"/>
          </w:tcPr>
          <w:p w14:paraId="3A9A00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1FB56CF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仿宋_GB2312" w:cs="Times New Roman"/>
                <w:color w:val="000000"/>
                <w:sz w:val="28"/>
                <w:szCs w:val="28"/>
                <w:lang w:val="en-US" w:eastAsia="zh-CN"/>
              </w:rPr>
            </w:pPr>
            <w:r>
              <w:rPr>
                <w:rFonts w:hint="eastAsia" w:eastAsia="仿宋_GB2312" w:cs="Times New Roman"/>
                <w:color w:val="000000"/>
                <w:sz w:val="28"/>
                <w:szCs w:val="28"/>
                <w:lang w:val="en-US" w:eastAsia="zh-CN"/>
              </w:rPr>
              <w:t>区科技局</w:t>
            </w:r>
          </w:p>
          <w:p w14:paraId="2E522F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工信局</w:t>
            </w:r>
          </w:p>
          <w:p w14:paraId="2C8FDB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人社局</w:t>
            </w:r>
          </w:p>
          <w:p w14:paraId="75A7CE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8"/>
                <w:szCs w:val="28"/>
                <w:vertAlign w:val="baseline"/>
                <w:lang w:val="en-US" w:eastAsia="zh-CN" w:bidi="ar-SA"/>
              </w:rPr>
            </w:pPr>
            <w:r>
              <w:rPr>
                <w:rFonts w:hint="eastAsia" w:eastAsia="仿宋_GB2312" w:cs="Times New Roman"/>
                <w:color w:val="000000"/>
                <w:sz w:val="28"/>
                <w:szCs w:val="28"/>
                <w:lang w:val="en-US" w:eastAsia="zh-CN"/>
              </w:rPr>
              <w:t>区科协</w:t>
            </w:r>
          </w:p>
        </w:tc>
      </w:tr>
      <w:tr w14:paraId="04A6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71" w:type="dxa"/>
            <w:noWrap w:val="0"/>
            <w:vAlign w:val="center"/>
          </w:tcPr>
          <w:p w14:paraId="3C946A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11F3D9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5FD35F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60298F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14E4BC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316878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3503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571" w:type="dxa"/>
            <w:tcBorders>
              <w:left w:val="single" w:color="auto" w:sz="4" w:space="0"/>
            </w:tcBorders>
            <w:noWrap w:val="0"/>
            <w:vAlign w:val="center"/>
          </w:tcPr>
          <w:p w14:paraId="2A838A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7"/>
                <w:rFonts w:hint="default" w:ascii="Times New Roman" w:hAnsi="Times New Roman" w:eastAsia="仿宋_GB2312" w:cs="仿宋_GB2312"/>
                <w:b w:val="0"/>
                <w:bCs w:val="0"/>
                <w:color w:val="000000"/>
                <w:sz w:val="28"/>
                <w:szCs w:val="28"/>
                <w:lang w:val="en-US" w:eastAsia="zh-CN"/>
              </w:rPr>
            </w:pPr>
            <w:r>
              <w:rPr>
                <w:rStyle w:val="7"/>
                <w:rFonts w:hint="eastAsia" w:eastAsia="仿宋_GB2312" w:cs="仿宋_GB2312"/>
                <w:b w:val="0"/>
                <w:bCs w:val="0"/>
                <w:color w:val="000000"/>
                <w:sz w:val="28"/>
                <w:szCs w:val="28"/>
                <w:lang w:val="en-US" w:eastAsia="zh-CN"/>
              </w:rPr>
              <w:t>21</w:t>
            </w:r>
          </w:p>
        </w:tc>
        <w:tc>
          <w:tcPr>
            <w:tcW w:w="1375" w:type="dxa"/>
            <w:vMerge w:val="restart"/>
            <w:tcBorders>
              <w:left w:val="single" w:color="auto" w:sz="4" w:space="0"/>
            </w:tcBorders>
            <w:noWrap w:val="0"/>
            <w:vAlign w:val="center"/>
          </w:tcPr>
          <w:p w14:paraId="16A33A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Style w:val="7"/>
                <w:rFonts w:hint="eastAsia" w:ascii="Times New Roman" w:hAnsi="Times New Roman" w:eastAsia="仿宋_GB2312" w:cs="仿宋_GB2312"/>
                <w:b/>
                <w:bCs/>
                <w:color w:val="000000"/>
                <w:sz w:val="28"/>
                <w:szCs w:val="28"/>
              </w:rPr>
              <w:t>科普信息化提升工程</w:t>
            </w:r>
          </w:p>
        </w:tc>
        <w:tc>
          <w:tcPr>
            <w:tcW w:w="1429" w:type="dxa"/>
            <w:noWrap w:val="0"/>
            <w:vAlign w:val="center"/>
          </w:tcPr>
          <w:p w14:paraId="282344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仿宋_GB2312" w:cs="仿宋_GB2312"/>
                <w:b w:val="0"/>
                <w:bCs w:val="0"/>
                <w:color w:val="auto"/>
                <w:sz w:val="28"/>
                <w:szCs w:val="28"/>
                <w:lang w:val="en-US" w:eastAsia="zh-CN"/>
              </w:rPr>
              <w:t>1.实施“互联网+科普”行动</w:t>
            </w:r>
          </w:p>
        </w:tc>
        <w:tc>
          <w:tcPr>
            <w:tcW w:w="9049" w:type="dxa"/>
            <w:noWrap w:val="0"/>
            <w:vAlign w:val="center"/>
          </w:tcPr>
          <w:p w14:paraId="192FB25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黑体"/>
                <w:sz w:val="28"/>
                <w:szCs w:val="28"/>
                <w:vertAlign w:val="baseline"/>
                <w:lang w:val="en-US" w:eastAsia="zh-CN"/>
              </w:rPr>
            </w:pPr>
            <w:r>
              <w:rPr>
                <w:rFonts w:hint="eastAsia" w:ascii="Times New Roman" w:hAnsi="Times New Roman" w:eastAsia="仿宋_GB2312" w:cs="黑体"/>
                <w:sz w:val="28"/>
                <w:szCs w:val="28"/>
                <w:vertAlign w:val="baseline"/>
                <w:lang w:val="en-US" w:eastAsia="zh-CN"/>
              </w:rPr>
              <w:t>推进科普与大数据、云计算、人工智能、区块链等技术深度融合</w:t>
            </w:r>
            <w:r>
              <w:rPr>
                <w:rFonts w:hint="eastAsia" w:eastAsia="仿宋_GB2312" w:cs="黑体"/>
                <w:sz w:val="28"/>
                <w:szCs w:val="28"/>
                <w:vertAlign w:val="baseline"/>
                <w:lang w:val="en-US" w:eastAsia="zh-CN"/>
              </w:rPr>
              <w:t>，</w:t>
            </w:r>
            <w:r>
              <w:rPr>
                <w:rFonts w:hint="eastAsia" w:ascii="Times New Roman" w:hAnsi="Times New Roman" w:eastAsia="仿宋_GB2312" w:cs="黑体"/>
                <w:sz w:val="28"/>
                <w:szCs w:val="28"/>
                <w:vertAlign w:val="baseline"/>
                <w:lang w:val="en-US" w:eastAsia="zh-CN"/>
              </w:rPr>
              <w:t>将科普融入智慧城市、智慧社区。加强“科普中国”优质资源推广应用</w:t>
            </w:r>
            <w:r>
              <w:rPr>
                <w:rFonts w:hint="eastAsia" w:eastAsia="仿宋_GB2312" w:cs="黑体"/>
                <w:sz w:val="28"/>
                <w:szCs w:val="28"/>
                <w:vertAlign w:val="baseline"/>
                <w:lang w:val="en-US" w:eastAsia="zh-CN"/>
              </w:rPr>
              <w:t>，</w:t>
            </w:r>
            <w:r>
              <w:rPr>
                <w:rFonts w:hint="eastAsia" w:ascii="Times New Roman" w:hAnsi="Times New Roman" w:eastAsia="仿宋_GB2312" w:cs="黑体"/>
                <w:sz w:val="28"/>
                <w:szCs w:val="28"/>
                <w:vertAlign w:val="baseline"/>
                <w:lang w:val="en-US" w:eastAsia="zh-CN"/>
              </w:rPr>
              <w:t>推动全市各类科普资源平台与“科普中国”资源深度对接。创新科普传播内容和方式，广泛动员社会各方力量开展科普信息化建设，推动信息技术手段在科普中的广泛深入应用。支持相关单位、社会机构和个人开发贴近生活、贴近群众、贴近基层的网络科普资源。</w:t>
            </w:r>
          </w:p>
        </w:tc>
        <w:tc>
          <w:tcPr>
            <w:tcW w:w="1350" w:type="dxa"/>
            <w:noWrap w:val="0"/>
            <w:vAlign w:val="center"/>
          </w:tcPr>
          <w:p w14:paraId="57A5BD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科协</w:t>
            </w:r>
          </w:p>
          <w:p w14:paraId="407EA60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p>
        </w:tc>
        <w:tc>
          <w:tcPr>
            <w:tcW w:w="2058" w:type="dxa"/>
            <w:noWrap w:val="0"/>
            <w:vAlign w:val="center"/>
          </w:tcPr>
          <w:p w14:paraId="3A304B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sz w:val="28"/>
                <w:szCs w:val="28"/>
                <w:lang w:val="en-US" w:eastAsia="zh-CN"/>
              </w:rPr>
            </w:pPr>
            <w:r>
              <w:rPr>
                <w:rFonts w:hint="eastAsia" w:eastAsia="仿宋_GB2312" w:cs="仿宋_GB2312"/>
                <w:sz w:val="28"/>
                <w:szCs w:val="28"/>
                <w:lang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5881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571" w:type="dxa"/>
            <w:tcBorders>
              <w:left w:val="single" w:color="auto" w:sz="4" w:space="0"/>
            </w:tcBorders>
            <w:noWrap w:val="0"/>
            <w:vAlign w:val="center"/>
          </w:tcPr>
          <w:p w14:paraId="555941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22</w:t>
            </w:r>
          </w:p>
        </w:tc>
        <w:tc>
          <w:tcPr>
            <w:tcW w:w="1375" w:type="dxa"/>
            <w:vMerge w:val="continue"/>
            <w:tcBorders>
              <w:left w:val="single" w:color="auto" w:sz="4" w:space="0"/>
            </w:tcBorders>
            <w:noWrap w:val="0"/>
            <w:vAlign w:val="center"/>
          </w:tcPr>
          <w:p w14:paraId="1D4FE5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黑体" w:cs="黑体"/>
                <w:sz w:val="28"/>
                <w:szCs w:val="28"/>
                <w:vertAlign w:val="baseline"/>
                <w:lang w:val="en-US" w:eastAsia="zh-CN"/>
              </w:rPr>
            </w:pPr>
          </w:p>
        </w:tc>
        <w:tc>
          <w:tcPr>
            <w:tcW w:w="1429" w:type="dxa"/>
            <w:noWrap w:val="0"/>
            <w:vAlign w:val="center"/>
          </w:tcPr>
          <w:p w14:paraId="4BDC95E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2</w:t>
            </w:r>
            <w:r>
              <w:rPr>
                <w:rFonts w:hint="eastAsia" w:ascii="Times New Roman" w:hAnsi="Times New Roman" w:eastAsia="仿宋_GB2312" w:cs="Times New Roman"/>
                <w:color w:val="000000"/>
                <w:sz w:val="28"/>
                <w:szCs w:val="28"/>
                <w:lang w:val="en-US" w:eastAsia="zh-CN"/>
              </w:rPr>
              <w:t>.提升全媒体科</w:t>
            </w:r>
            <w:r>
              <w:rPr>
                <w:rFonts w:hint="eastAsia" w:eastAsia="仿宋_GB2312" w:cs="Times New Roman"/>
                <w:color w:val="000000"/>
                <w:sz w:val="28"/>
                <w:szCs w:val="28"/>
                <w:lang w:val="en-US" w:eastAsia="zh-CN"/>
              </w:rPr>
              <w:t>普</w:t>
            </w:r>
            <w:r>
              <w:rPr>
                <w:rFonts w:hint="eastAsia" w:ascii="Times New Roman" w:hAnsi="Times New Roman" w:eastAsia="仿宋_GB2312" w:cs="Times New Roman"/>
                <w:color w:val="000000"/>
                <w:sz w:val="28"/>
                <w:szCs w:val="28"/>
                <w:lang w:val="en-US" w:eastAsia="zh-CN"/>
              </w:rPr>
              <w:t>传播</w:t>
            </w:r>
          </w:p>
        </w:tc>
        <w:tc>
          <w:tcPr>
            <w:tcW w:w="9049" w:type="dxa"/>
            <w:noWrap w:val="0"/>
            <w:vAlign w:val="center"/>
          </w:tcPr>
          <w:p w14:paraId="58B55F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充分发挥媒体平台及第三方网络平台作用，鼓励各类媒介增加科学传播公益广告内容，实现科普内容多渠道全媒体传播。</w:t>
            </w:r>
          </w:p>
        </w:tc>
        <w:tc>
          <w:tcPr>
            <w:tcW w:w="1350" w:type="dxa"/>
            <w:noWrap w:val="0"/>
            <w:vAlign w:val="center"/>
          </w:tcPr>
          <w:p w14:paraId="30CD45D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pacing w:val="-28"/>
                <w:sz w:val="28"/>
                <w:szCs w:val="28"/>
                <w:lang w:val="en-US" w:eastAsia="zh-CN"/>
              </w:rPr>
              <w:t>区</w:t>
            </w:r>
            <w:r>
              <w:rPr>
                <w:rFonts w:hint="eastAsia" w:ascii="Times New Roman" w:hAnsi="Times New Roman" w:eastAsia="仿宋_GB2312" w:cs="Times New Roman"/>
                <w:color w:val="000000"/>
                <w:spacing w:val="-28"/>
                <w:sz w:val="28"/>
                <w:szCs w:val="28"/>
                <w:lang w:val="en-US" w:eastAsia="zh-CN"/>
              </w:rPr>
              <w:t>委宣传部</w:t>
            </w:r>
          </w:p>
        </w:tc>
        <w:tc>
          <w:tcPr>
            <w:tcW w:w="2058" w:type="dxa"/>
            <w:noWrap w:val="0"/>
            <w:vAlign w:val="center"/>
          </w:tcPr>
          <w:p w14:paraId="29DACC5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区委宣传部</w:t>
            </w:r>
          </w:p>
          <w:p w14:paraId="182B12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区委网信办</w:t>
            </w:r>
          </w:p>
          <w:p w14:paraId="3FFE80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s="Times New Roman"/>
                <w:sz w:val="21"/>
                <w:szCs w:val="20"/>
                <w:lang w:val="en-US" w:eastAsia="zh-CN"/>
              </w:rPr>
            </w:pPr>
            <w:r>
              <w:rPr>
                <w:rFonts w:hint="eastAsia" w:ascii="仿宋_GB2312" w:hAnsi="仿宋_GB2312" w:eastAsia="仿宋_GB2312" w:cs="仿宋_GB2312"/>
                <w:color w:val="000000"/>
                <w:sz w:val="28"/>
                <w:szCs w:val="28"/>
                <w:lang w:val="en-US" w:eastAsia="zh-CN"/>
              </w:rPr>
              <w:t>区融媒体中心</w:t>
            </w:r>
          </w:p>
        </w:tc>
      </w:tr>
      <w:tr w14:paraId="5B09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571" w:type="dxa"/>
            <w:tcBorders>
              <w:left w:val="single" w:color="auto" w:sz="4" w:space="0"/>
            </w:tcBorders>
            <w:noWrap w:val="0"/>
            <w:vAlign w:val="center"/>
          </w:tcPr>
          <w:p w14:paraId="166F7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z w:val="28"/>
                <w:szCs w:val="28"/>
                <w:lang w:val="en-US" w:eastAsia="zh-CN"/>
              </w:rPr>
              <w:t>2</w:t>
            </w:r>
            <w:r>
              <w:rPr>
                <w:rFonts w:hint="eastAsia" w:eastAsia="仿宋_GB2312" w:cs="仿宋_GB2312"/>
                <w:b w:val="0"/>
                <w:bCs w:val="0"/>
                <w:sz w:val="28"/>
                <w:szCs w:val="28"/>
                <w:lang w:val="en-US" w:eastAsia="zh-CN"/>
              </w:rPr>
              <w:t>3</w:t>
            </w:r>
          </w:p>
        </w:tc>
        <w:tc>
          <w:tcPr>
            <w:tcW w:w="1375" w:type="dxa"/>
            <w:vMerge w:val="continue"/>
            <w:tcBorders>
              <w:left w:val="single" w:color="auto" w:sz="4" w:space="0"/>
            </w:tcBorders>
            <w:noWrap w:val="0"/>
            <w:vAlign w:val="center"/>
          </w:tcPr>
          <w:p w14:paraId="3A4675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楷体_GB2312" w:cs="楷体_GB2312"/>
                <w:b/>
                <w:bCs/>
                <w:sz w:val="28"/>
                <w:szCs w:val="28"/>
                <w:lang w:eastAsia="zh-CN"/>
              </w:rPr>
            </w:pPr>
          </w:p>
        </w:tc>
        <w:tc>
          <w:tcPr>
            <w:tcW w:w="1429" w:type="dxa"/>
            <w:noWrap w:val="0"/>
            <w:vAlign w:val="center"/>
          </w:tcPr>
          <w:p w14:paraId="2E1803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仿宋_GB2312"/>
                <w:b w:val="0"/>
                <w:bCs w:val="0"/>
                <w:sz w:val="28"/>
                <w:szCs w:val="28"/>
                <w:vertAlign w:val="baseline"/>
                <w:lang w:eastAsia="zh-CN"/>
              </w:rPr>
              <w:t>3</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highlight w:val="none"/>
                <w:lang w:val="en-US" w:eastAsia="zh-CN"/>
              </w:rPr>
              <w:t>推动</w:t>
            </w:r>
            <w:r>
              <w:rPr>
                <w:rFonts w:hint="default" w:eastAsia="仿宋_GB2312" w:cs="Times New Roman"/>
                <w:color w:val="000000"/>
                <w:sz w:val="28"/>
                <w:szCs w:val="28"/>
                <w:highlight w:val="none"/>
                <w:lang w:eastAsia="zh-CN"/>
              </w:rPr>
              <w:t>优质</w:t>
            </w:r>
            <w:r>
              <w:rPr>
                <w:rFonts w:hint="default" w:ascii="Times New Roman" w:hAnsi="Times New Roman" w:eastAsia="仿宋_GB2312" w:cs="Times New Roman"/>
                <w:color w:val="000000"/>
                <w:sz w:val="28"/>
                <w:szCs w:val="28"/>
                <w:highlight w:val="none"/>
                <w:lang w:val="en-US" w:eastAsia="zh-CN"/>
              </w:rPr>
              <w:t>科普</w:t>
            </w:r>
            <w:r>
              <w:rPr>
                <w:rFonts w:hint="default" w:eastAsia="仿宋_GB2312" w:cs="Times New Roman"/>
                <w:color w:val="000000"/>
                <w:sz w:val="28"/>
                <w:szCs w:val="28"/>
                <w:highlight w:val="none"/>
                <w:lang w:eastAsia="zh-CN"/>
              </w:rPr>
              <w:t>信息</w:t>
            </w:r>
            <w:r>
              <w:rPr>
                <w:rFonts w:hint="default" w:ascii="Times New Roman" w:hAnsi="Times New Roman" w:eastAsia="仿宋_GB2312" w:cs="Times New Roman"/>
                <w:color w:val="000000"/>
                <w:sz w:val="28"/>
                <w:szCs w:val="28"/>
                <w:highlight w:val="none"/>
                <w:lang w:val="en-US" w:eastAsia="zh-CN"/>
              </w:rPr>
              <w:t>落地应用</w:t>
            </w:r>
          </w:p>
        </w:tc>
        <w:tc>
          <w:tcPr>
            <w:tcW w:w="9049" w:type="dxa"/>
            <w:noWrap w:val="0"/>
            <w:vAlign w:val="center"/>
          </w:tcPr>
          <w:p w14:paraId="3A4910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推动全市主流媒体及各成员单位官方网站，加强</w:t>
            </w:r>
            <w:r>
              <w:rPr>
                <w:rFonts w:hint="default"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科普中国</w:t>
            </w:r>
            <w:r>
              <w:rPr>
                <w:rFonts w:hint="default"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品牌及应用宣传。“十四五”末，“科普中国”APP科普信息员注册人数达到</w:t>
            </w:r>
            <w:r>
              <w:rPr>
                <w:rFonts w:hint="eastAsia" w:eastAsia="仿宋_GB2312" w:cs="仿宋_GB2312"/>
                <w:b w:val="0"/>
                <w:bCs w:val="0"/>
                <w:color w:val="auto"/>
                <w:sz w:val="28"/>
                <w:szCs w:val="28"/>
                <w:lang w:val="en-US" w:eastAsia="zh-CN"/>
              </w:rPr>
              <w:t>2.5</w:t>
            </w:r>
            <w:r>
              <w:rPr>
                <w:rFonts w:hint="default" w:ascii="Times New Roman" w:hAnsi="Times New Roman" w:eastAsia="仿宋_GB2312" w:cs="Times New Roman"/>
                <w:color w:val="000000"/>
                <w:sz w:val="28"/>
                <w:szCs w:val="28"/>
                <w:lang w:val="en-US" w:eastAsia="zh-CN"/>
              </w:rPr>
              <w:t>万人以上。</w:t>
            </w:r>
          </w:p>
        </w:tc>
        <w:tc>
          <w:tcPr>
            <w:tcW w:w="1350" w:type="dxa"/>
            <w:noWrap w:val="0"/>
            <w:vAlign w:val="center"/>
          </w:tcPr>
          <w:p w14:paraId="283139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pacing w:val="-2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科协</w:t>
            </w:r>
          </w:p>
        </w:tc>
        <w:tc>
          <w:tcPr>
            <w:tcW w:w="2058" w:type="dxa"/>
            <w:noWrap w:val="0"/>
            <w:vAlign w:val="center"/>
          </w:tcPr>
          <w:p w14:paraId="34989E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4E69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571" w:type="dxa"/>
            <w:tcBorders>
              <w:left w:val="single" w:color="auto" w:sz="4" w:space="0"/>
            </w:tcBorders>
            <w:noWrap w:val="0"/>
            <w:vAlign w:val="center"/>
          </w:tcPr>
          <w:p w14:paraId="372F32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2</w:t>
            </w:r>
            <w:r>
              <w:rPr>
                <w:rFonts w:hint="eastAsia" w:eastAsia="仿宋_GB2312" w:cs="仿宋_GB2312"/>
                <w:b w:val="0"/>
                <w:bCs w:val="0"/>
                <w:sz w:val="28"/>
                <w:szCs w:val="28"/>
                <w:vertAlign w:val="baseline"/>
                <w:lang w:val="en-US" w:eastAsia="zh-CN"/>
              </w:rPr>
              <w:t>4</w:t>
            </w:r>
          </w:p>
        </w:tc>
        <w:tc>
          <w:tcPr>
            <w:tcW w:w="1375" w:type="dxa"/>
            <w:tcBorders>
              <w:left w:val="single" w:color="auto" w:sz="4" w:space="0"/>
            </w:tcBorders>
            <w:noWrap w:val="0"/>
            <w:vAlign w:val="center"/>
          </w:tcPr>
          <w:p w14:paraId="3D2EB9A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b/>
                <w:bCs/>
                <w:sz w:val="28"/>
                <w:szCs w:val="28"/>
                <w:vertAlign w:val="baseline"/>
                <w:lang w:val="en-US" w:eastAsia="zh-CN"/>
              </w:rPr>
              <w:t>科普基础设施</w:t>
            </w:r>
            <w:r>
              <w:rPr>
                <w:rFonts w:hint="eastAsia" w:ascii="Times New Roman" w:hAnsi="Times New Roman" w:eastAsia="仿宋_GB2312" w:cs="Times New Roman"/>
                <w:b/>
                <w:bCs/>
                <w:sz w:val="28"/>
                <w:szCs w:val="28"/>
                <w:vertAlign w:val="baseline"/>
                <w:lang w:val="en-US" w:eastAsia="zh-CN"/>
              </w:rPr>
              <w:t>建设</w:t>
            </w:r>
            <w:r>
              <w:rPr>
                <w:rFonts w:hint="default" w:ascii="Times New Roman" w:hAnsi="Times New Roman" w:eastAsia="仿宋_GB2312" w:cs="Times New Roman"/>
                <w:b/>
                <w:bCs/>
                <w:sz w:val="28"/>
                <w:szCs w:val="28"/>
                <w:vertAlign w:val="baseline"/>
                <w:lang w:val="en-US" w:eastAsia="zh-CN"/>
              </w:rPr>
              <w:t>工程</w:t>
            </w:r>
          </w:p>
        </w:tc>
        <w:tc>
          <w:tcPr>
            <w:tcW w:w="1429" w:type="dxa"/>
            <w:noWrap w:val="0"/>
            <w:vAlign w:val="center"/>
          </w:tcPr>
          <w:p w14:paraId="224D21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仿宋_GB2312"/>
                <w:b w:val="0"/>
                <w:bCs w:val="0"/>
                <w:color w:val="auto"/>
                <w:sz w:val="28"/>
                <w:szCs w:val="28"/>
                <w:lang w:val="en-US" w:eastAsia="zh-CN"/>
              </w:rPr>
              <w:t>1</w:t>
            </w:r>
            <w:r>
              <w:rPr>
                <w:rFonts w:hint="eastAsia" w:ascii="Times New Roman" w:hAnsi="Times New Roman" w:eastAsia="仿宋_GB2312" w:cs="Times New Roman"/>
                <w:color w:val="000000"/>
                <w:sz w:val="28"/>
                <w:szCs w:val="28"/>
                <w:lang w:val="en-US" w:eastAsia="zh-CN"/>
              </w:rPr>
              <w:t>.优化科普设施布局</w:t>
            </w:r>
          </w:p>
        </w:tc>
        <w:tc>
          <w:tcPr>
            <w:tcW w:w="9049" w:type="dxa"/>
            <w:noWrap w:val="0"/>
            <w:vAlign w:val="center"/>
          </w:tcPr>
          <w:p w14:paraId="4AA6490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加强科普基础设施发展顶层设计和合理规划，支持兴办更多公益性科普基础设施，调动社会力量参与科普基础设施建设，鼓励街道（镇）和社区（农村）建设具有科普教育功能的综合服务设施，在新建及现有的基层服务中心拓展科普功能。推动将科普设施建设纳入新时代文明实践中心、党群服务中心。</w:t>
            </w:r>
          </w:p>
        </w:tc>
        <w:tc>
          <w:tcPr>
            <w:tcW w:w="1350" w:type="dxa"/>
            <w:noWrap w:val="0"/>
            <w:vAlign w:val="center"/>
          </w:tcPr>
          <w:p w14:paraId="58ABA8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2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科协</w:t>
            </w:r>
          </w:p>
        </w:tc>
        <w:tc>
          <w:tcPr>
            <w:tcW w:w="2058" w:type="dxa"/>
            <w:noWrap w:val="0"/>
            <w:vAlign w:val="center"/>
          </w:tcPr>
          <w:p w14:paraId="532EBA2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cs="仿宋_GB2312"/>
                <w:sz w:val="28"/>
                <w:szCs w:val="28"/>
                <w:lang w:val="en-US" w:eastAsia="zh-CN"/>
              </w:rPr>
            </w:pPr>
            <w:r>
              <w:rPr>
                <w:rFonts w:hint="eastAsia" w:eastAsia="仿宋_GB2312" w:cs="仿宋_GB2312"/>
                <w:sz w:val="28"/>
                <w:szCs w:val="28"/>
                <w:lang w:val="en-US" w:eastAsia="zh-CN"/>
              </w:rPr>
              <w:t>区</w:t>
            </w:r>
            <w:r>
              <w:rPr>
                <w:rFonts w:hint="default" w:eastAsia="仿宋_GB2312" w:cs="仿宋_GB2312"/>
                <w:sz w:val="28"/>
                <w:szCs w:val="28"/>
                <w:lang w:val="en-US" w:eastAsia="zh-CN"/>
              </w:rPr>
              <w:t>发改委</w:t>
            </w:r>
          </w:p>
          <w:p w14:paraId="77DDE4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仿宋_GB2312"/>
                <w:sz w:val="28"/>
                <w:szCs w:val="28"/>
                <w:lang w:val="en-US" w:eastAsia="zh-CN"/>
              </w:rPr>
            </w:pPr>
            <w:r>
              <w:rPr>
                <w:rFonts w:hint="eastAsia" w:eastAsia="仿宋_GB2312" w:cs="仿宋_GB2312"/>
                <w:sz w:val="28"/>
                <w:szCs w:val="28"/>
                <w:lang w:val="en-US" w:eastAsia="zh-CN"/>
              </w:rPr>
              <w:t>区科技局</w:t>
            </w:r>
          </w:p>
          <w:p w14:paraId="54F9249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仿宋_GB2312"/>
                <w:sz w:val="28"/>
                <w:szCs w:val="28"/>
                <w:lang w:val="en-US" w:eastAsia="zh-CN"/>
              </w:rPr>
            </w:pPr>
            <w:r>
              <w:rPr>
                <w:rFonts w:hint="eastAsia" w:eastAsia="仿宋_GB2312" w:cs="仿宋_GB2312"/>
                <w:sz w:val="28"/>
                <w:szCs w:val="28"/>
                <w:lang w:val="en-US" w:eastAsia="zh-CN"/>
              </w:rPr>
              <w:t>区财政局</w:t>
            </w:r>
          </w:p>
          <w:p w14:paraId="0EF9FC2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s="Times New Roman"/>
                <w:sz w:val="21"/>
                <w:szCs w:val="20"/>
                <w:lang w:val="en-US" w:eastAsia="zh-CN"/>
              </w:rPr>
            </w:pPr>
            <w:r>
              <w:rPr>
                <w:rFonts w:hint="eastAsia" w:ascii="Times New Roman" w:hAnsi="Times New Roman" w:eastAsia="仿宋_GB2312" w:cs="Times New Roman"/>
                <w:color w:val="000000"/>
                <w:spacing w:val="-28"/>
                <w:sz w:val="28"/>
                <w:szCs w:val="28"/>
                <w:lang w:val="en-US" w:eastAsia="zh-CN"/>
              </w:rPr>
              <w:t>各街道办事处、镇</w:t>
            </w:r>
          </w:p>
        </w:tc>
      </w:tr>
      <w:tr w14:paraId="38F6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71" w:type="dxa"/>
            <w:noWrap w:val="0"/>
            <w:vAlign w:val="center"/>
          </w:tcPr>
          <w:p w14:paraId="6C5F52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z w:val="28"/>
                <w:szCs w:val="28"/>
                <w:vertAlign w:val="baseline"/>
                <w:lang w:val="en-US" w:eastAsia="zh-CN"/>
              </w:rPr>
            </w:pPr>
            <w:r>
              <w:rPr>
                <w:rFonts w:hint="eastAsia" w:ascii="Times New Roman" w:hAnsi="Times New Roman" w:eastAsia="黑体" w:cs="黑体"/>
                <w:sz w:val="28"/>
                <w:szCs w:val="28"/>
                <w:vertAlign w:val="baseline"/>
                <w:lang w:val="en-US" w:eastAsia="zh-CN"/>
              </w:rPr>
              <w:t>序号</w:t>
            </w:r>
          </w:p>
        </w:tc>
        <w:tc>
          <w:tcPr>
            <w:tcW w:w="1375" w:type="dxa"/>
            <w:noWrap w:val="0"/>
            <w:vAlign w:val="center"/>
          </w:tcPr>
          <w:p w14:paraId="3D69A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56359F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13B930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70B38E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sz w:val="28"/>
                <w:szCs w:val="28"/>
                <w:vertAlign w:val="baseline"/>
                <w:lang w:val="en-US" w:eastAsia="zh-CN"/>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134D25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23F5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71" w:type="dxa"/>
            <w:tcBorders>
              <w:left w:val="single" w:color="auto" w:sz="4" w:space="0"/>
            </w:tcBorders>
            <w:noWrap w:val="0"/>
            <w:vAlign w:val="center"/>
          </w:tcPr>
          <w:p w14:paraId="32F08F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b w:val="0"/>
                <w:bCs w:val="0"/>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2</w:t>
            </w:r>
            <w:r>
              <w:rPr>
                <w:rFonts w:hint="eastAsia" w:eastAsia="仿宋_GB2312" w:cs="仿宋_GB2312"/>
                <w:b w:val="0"/>
                <w:bCs w:val="0"/>
                <w:sz w:val="28"/>
                <w:szCs w:val="28"/>
                <w:vertAlign w:val="baseline"/>
                <w:lang w:val="en-US" w:eastAsia="zh-CN"/>
              </w:rPr>
              <w:t>5</w:t>
            </w:r>
          </w:p>
        </w:tc>
        <w:tc>
          <w:tcPr>
            <w:tcW w:w="1375" w:type="dxa"/>
            <w:tcBorders>
              <w:left w:val="single" w:color="auto" w:sz="4" w:space="0"/>
            </w:tcBorders>
            <w:noWrap w:val="0"/>
            <w:vAlign w:val="center"/>
          </w:tcPr>
          <w:p w14:paraId="785CAB3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b/>
                <w:bCs/>
                <w:sz w:val="28"/>
                <w:szCs w:val="28"/>
                <w:vertAlign w:val="baseline"/>
                <w:lang w:val="en-US" w:eastAsia="zh-CN"/>
              </w:rPr>
              <w:t>科普基础设施</w:t>
            </w:r>
            <w:r>
              <w:rPr>
                <w:rFonts w:hint="eastAsia" w:ascii="Times New Roman" w:hAnsi="Times New Roman" w:eastAsia="仿宋_GB2312" w:cs="Times New Roman"/>
                <w:b/>
                <w:bCs/>
                <w:sz w:val="28"/>
                <w:szCs w:val="28"/>
                <w:vertAlign w:val="baseline"/>
                <w:lang w:val="en-US" w:eastAsia="zh-CN"/>
              </w:rPr>
              <w:t>建设</w:t>
            </w:r>
            <w:r>
              <w:rPr>
                <w:rFonts w:hint="default" w:ascii="Times New Roman" w:hAnsi="Times New Roman" w:eastAsia="仿宋_GB2312" w:cs="Times New Roman"/>
                <w:b/>
                <w:bCs/>
                <w:sz w:val="28"/>
                <w:szCs w:val="28"/>
                <w:vertAlign w:val="baseline"/>
                <w:lang w:val="en-US" w:eastAsia="zh-CN"/>
              </w:rPr>
              <w:t>工程</w:t>
            </w:r>
          </w:p>
        </w:tc>
        <w:tc>
          <w:tcPr>
            <w:tcW w:w="1429" w:type="dxa"/>
            <w:noWrap w:val="0"/>
            <w:vAlign w:val="center"/>
          </w:tcPr>
          <w:p w14:paraId="290FD4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加强科普教育阵地建设</w:t>
            </w:r>
          </w:p>
        </w:tc>
        <w:tc>
          <w:tcPr>
            <w:tcW w:w="9049" w:type="dxa"/>
            <w:noWrap w:val="0"/>
            <w:vAlign w:val="center"/>
          </w:tcPr>
          <w:p w14:paraId="0C0FA9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鼓励卫生健康、食品药品、应急管理、等行业部门建立专业科普教育、研学基地。加强各类科普教育基地之间交流协作，以市场化机制调动社会力量，形成具有独特性的科普研学资源。</w:t>
            </w:r>
          </w:p>
          <w:p w14:paraId="09D075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p>
        </w:tc>
        <w:tc>
          <w:tcPr>
            <w:tcW w:w="1350" w:type="dxa"/>
            <w:noWrap w:val="0"/>
            <w:vAlign w:val="center"/>
          </w:tcPr>
          <w:p w14:paraId="6FBB50B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科协</w:t>
            </w:r>
          </w:p>
        </w:tc>
        <w:tc>
          <w:tcPr>
            <w:tcW w:w="2058" w:type="dxa"/>
            <w:noWrap w:val="0"/>
            <w:vAlign w:val="center"/>
          </w:tcPr>
          <w:p w14:paraId="2820F0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pacing w:val="6"/>
                <w:sz w:val="28"/>
                <w:szCs w:val="28"/>
                <w:lang w:val="en-US" w:eastAsia="zh-CN"/>
              </w:rPr>
              <w:t>教育局</w:t>
            </w:r>
          </w:p>
          <w:p w14:paraId="6BA25E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pacing w:val="6"/>
                <w:sz w:val="28"/>
                <w:szCs w:val="28"/>
                <w:lang w:val="en-US" w:eastAsia="zh-CN"/>
              </w:rPr>
              <w:t>工信局</w:t>
            </w:r>
          </w:p>
          <w:p w14:paraId="234A65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28"/>
                <w:sz w:val="28"/>
                <w:szCs w:val="28"/>
                <w:lang w:val="en-US" w:eastAsia="zh-CN"/>
              </w:rPr>
            </w:pPr>
            <w:r>
              <w:rPr>
                <w:rFonts w:hint="eastAsia" w:ascii="Times New Roman" w:hAnsi="Times New Roman" w:eastAsia="仿宋_GB2312" w:cs="Times New Roman"/>
                <w:color w:val="000000"/>
                <w:spacing w:val="-28"/>
                <w:sz w:val="28"/>
                <w:szCs w:val="28"/>
                <w:lang w:val="en-US" w:eastAsia="zh-CN"/>
              </w:rPr>
              <w:t>区文体旅游广电局</w:t>
            </w:r>
          </w:p>
          <w:p w14:paraId="737F75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卫健委</w:t>
            </w:r>
          </w:p>
          <w:p w14:paraId="73697C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应急局</w:t>
            </w:r>
          </w:p>
          <w:p w14:paraId="5B9090A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市场监管局</w:t>
            </w:r>
          </w:p>
          <w:p w14:paraId="5F0BC3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pacing w:val="6"/>
                <w:sz w:val="28"/>
                <w:szCs w:val="28"/>
                <w:lang w:val="en-US" w:eastAsia="zh-CN"/>
              </w:rPr>
            </w:pPr>
            <w:r>
              <w:rPr>
                <w:rFonts w:hint="eastAsia" w:eastAsia="仿宋_GB2312" w:cs="仿宋_GB2312"/>
                <w:sz w:val="28"/>
                <w:szCs w:val="28"/>
                <w:lang w:val="en-US" w:eastAsia="zh-CN"/>
              </w:rPr>
              <w:t>区农牧局</w:t>
            </w:r>
          </w:p>
          <w:p w14:paraId="1513120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pacing w:val="-2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pacing w:val="6"/>
                <w:sz w:val="28"/>
                <w:szCs w:val="28"/>
                <w:lang w:val="en-US" w:eastAsia="zh-CN"/>
              </w:rPr>
              <w:t>科协</w:t>
            </w:r>
          </w:p>
        </w:tc>
      </w:tr>
      <w:tr w14:paraId="6C4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71" w:type="dxa"/>
            <w:tcBorders>
              <w:left w:val="single" w:color="auto" w:sz="4" w:space="0"/>
            </w:tcBorders>
            <w:noWrap w:val="0"/>
            <w:vAlign w:val="center"/>
          </w:tcPr>
          <w:p w14:paraId="7CA440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7"/>
                <w:rFonts w:hint="default" w:ascii="Times New Roman" w:hAnsi="Times New Roman" w:eastAsia="仿宋_GB2312" w:cs="仿宋_GB2312"/>
                <w:b w:val="0"/>
                <w:bCs w:val="0"/>
                <w:color w:val="000000"/>
                <w:sz w:val="28"/>
                <w:szCs w:val="28"/>
                <w:lang w:val="en-US" w:eastAsia="zh-CN"/>
              </w:rPr>
            </w:pPr>
            <w:r>
              <w:rPr>
                <w:rStyle w:val="7"/>
                <w:rFonts w:hint="eastAsia" w:eastAsia="仿宋_GB2312" w:cs="仿宋_GB2312"/>
                <w:b w:val="0"/>
                <w:bCs w:val="0"/>
                <w:color w:val="000000"/>
                <w:sz w:val="28"/>
                <w:szCs w:val="28"/>
                <w:lang w:val="en-US" w:eastAsia="zh-CN"/>
              </w:rPr>
              <w:t>26</w:t>
            </w:r>
          </w:p>
        </w:tc>
        <w:tc>
          <w:tcPr>
            <w:tcW w:w="1375" w:type="dxa"/>
            <w:vMerge w:val="restart"/>
            <w:tcBorders>
              <w:left w:val="single" w:color="auto" w:sz="4" w:space="0"/>
            </w:tcBorders>
            <w:noWrap w:val="0"/>
            <w:vAlign w:val="center"/>
          </w:tcPr>
          <w:p w14:paraId="34FA7F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Style w:val="7"/>
                <w:rFonts w:hint="eastAsia" w:ascii="Times New Roman" w:hAnsi="Times New Roman" w:eastAsia="仿宋_GB2312" w:cs="仿宋_GB2312"/>
                <w:b/>
                <w:bCs/>
                <w:color w:val="000000"/>
                <w:sz w:val="28"/>
                <w:szCs w:val="28"/>
              </w:rPr>
              <w:t>基层科普能力提升</w:t>
            </w:r>
          </w:p>
        </w:tc>
        <w:tc>
          <w:tcPr>
            <w:tcW w:w="1429" w:type="dxa"/>
            <w:noWrap w:val="0"/>
            <w:vAlign w:val="center"/>
          </w:tcPr>
          <w:p w14:paraId="4FC646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lang w:val="en-US" w:eastAsia="zh-CN"/>
              </w:rPr>
              <w:t>.健全基层科普服务体系</w:t>
            </w:r>
          </w:p>
        </w:tc>
        <w:tc>
          <w:tcPr>
            <w:tcW w:w="9049" w:type="dxa"/>
            <w:noWrap w:val="0"/>
            <w:vAlign w:val="center"/>
          </w:tcPr>
          <w:p w14:paraId="5FD50C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进一步推进全域科普工作，推动科普服务向基层延伸。深入实施基层科普行动计划，以项目引领基层科普服务能力提升。构建以</w:t>
            </w:r>
            <w:r>
              <w:rPr>
                <w:rFonts w:ascii="Times New Roman" w:hAnsi="Times New Roman" w:eastAsia="仿宋_GB2312" w:cs="Times New Roman"/>
                <w:color w:val="000000"/>
                <w:sz w:val="28"/>
                <w:szCs w:val="28"/>
                <w:highlight w:val="none"/>
              </w:rPr>
              <w:t>新时代文明实践中心</w:t>
            </w:r>
            <w:r>
              <w:rPr>
                <w:rFonts w:hint="eastAsia" w:ascii="Times New Roman" w:hAnsi="Times New Roman" w:eastAsia="仿宋_GB2312" w:cs="Times New Roman"/>
                <w:color w:val="000000"/>
                <w:sz w:val="28"/>
                <w:szCs w:val="28"/>
                <w:highlight w:val="none"/>
              </w:rPr>
              <w:t>（所、站）</w:t>
            </w:r>
            <w:r>
              <w:rPr>
                <w:rFonts w:hint="eastAsia" w:ascii="Times New Roman" w:hAnsi="Times New Roman" w:eastAsia="仿宋_GB2312" w:cs="Times New Roman"/>
                <w:color w:val="000000"/>
                <w:sz w:val="28"/>
                <w:szCs w:val="28"/>
                <w:lang w:val="en-US" w:eastAsia="zh-CN"/>
              </w:rPr>
              <w:t>、党群服务中心、社区服务中心（站）等为阵地，以志愿服务为重要手段的基层科普服务体系。充分发挥科研院所、科技社团等科技机构的作用，发展壮大科普专家团队，发挥“三长”人员（医院院长、学校校长、农技站站长）的专业优势，引领带动中小学自然科学类教师、农业技术人员、医疗卫生人员等基层一线科技工作者参与科技志愿服务。</w:t>
            </w:r>
          </w:p>
        </w:tc>
        <w:tc>
          <w:tcPr>
            <w:tcW w:w="1350" w:type="dxa"/>
            <w:noWrap w:val="0"/>
            <w:vAlign w:val="center"/>
          </w:tcPr>
          <w:p w14:paraId="5BE64C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科协</w:t>
            </w:r>
          </w:p>
        </w:tc>
        <w:tc>
          <w:tcPr>
            <w:tcW w:w="2058" w:type="dxa"/>
            <w:noWrap w:val="0"/>
            <w:vAlign w:val="center"/>
          </w:tcPr>
          <w:p w14:paraId="706B06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Times New Roman"/>
                <w:color w:val="000000"/>
                <w:spacing w:val="6"/>
                <w:sz w:val="28"/>
                <w:szCs w:val="28"/>
                <w:lang w:val="en-US" w:eastAsia="zh-CN"/>
              </w:rPr>
              <w:t>区委宣传部</w:t>
            </w:r>
          </w:p>
          <w:p w14:paraId="0DCE0A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Times New Roman"/>
                <w:color w:val="000000"/>
                <w:spacing w:val="6"/>
                <w:sz w:val="28"/>
                <w:szCs w:val="28"/>
                <w:lang w:val="en-US" w:eastAsia="zh-CN"/>
              </w:rPr>
              <w:t>区教育局</w:t>
            </w:r>
          </w:p>
          <w:p w14:paraId="04CC82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卫健委</w:t>
            </w:r>
          </w:p>
          <w:p w14:paraId="64563BD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仿宋_GB2312" w:cs="Times New Roman"/>
                <w:color w:val="000000"/>
                <w:spacing w:val="6"/>
                <w:sz w:val="28"/>
                <w:szCs w:val="28"/>
                <w:lang w:val="en-US" w:eastAsia="zh-CN"/>
              </w:rPr>
            </w:pPr>
            <w:r>
              <w:rPr>
                <w:rFonts w:hint="eastAsia" w:eastAsia="仿宋_GB2312" w:cs="Times New Roman"/>
                <w:color w:val="000000"/>
                <w:spacing w:val="6"/>
                <w:sz w:val="28"/>
                <w:szCs w:val="28"/>
                <w:lang w:val="en-US" w:eastAsia="zh-CN"/>
              </w:rPr>
              <w:t>区农牧局</w:t>
            </w:r>
          </w:p>
          <w:p w14:paraId="12801FC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宋体" w:cs="Times New Roman"/>
                <w:sz w:val="21"/>
                <w:szCs w:val="20"/>
                <w:lang w:val="en-US" w:eastAsia="zh-CN"/>
              </w:rPr>
            </w:pPr>
            <w:r>
              <w:rPr>
                <w:rFonts w:hint="eastAsia" w:ascii="Times New Roman" w:hAnsi="Times New Roman" w:eastAsia="仿宋_GB2312" w:cs="Times New Roman"/>
                <w:color w:val="000000"/>
                <w:spacing w:val="-28"/>
                <w:sz w:val="28"/>
                <w:szCs w:val="28"/>
                <w:lang w:val="en-US" w:eastAsia="zh-CN"/>
              </w:rPr>
              <w:t>各街道办事处、镇</w:t>
            </w:r>
          </w:p>
          <w:p w14:paraId="0EFB90EB">
            <w:pPr>
              <w:pStyle w:val="2"/>
              <w:rPr>
                <w:rFonts w:hint="eastAsia"/>
                <w:lang w:val="en-US" w:eastAsia="zh-CN"/>
              </w:rPr>
            </w:pPr>
          </w:p>
        </w:tc>
      </w:tr>
      <w:tr w14:paraId="5D40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571" w:type="dxa"/>
            <w:tcBorders>
              <w:left w:val="single" w:color="auto" w:sz="4" w:space="0"/>
            </w:tcBorders>
            <w:noWrap w:val="0"/>
            <w:vAlign w:val="center"/>
          </w:tcPr>
          <w:p w14:paraId="1C3A7B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lang w:val="en-US" w:eastAsia="zh-CN"/>
              </w:rPr>
            </w:pPr>
            <w:r>
              <w:rPr>
                <w:rFonts w:hint="eastAsia" w:eastAsia="仿宋_GB2312" w:cs="仿宋_GB2312"/>
                <w:b w:val="0"/>
                <w:bCs w:val="0"/>
                <w:sz w:val="28"/>
                <w:szCs w:val="28"/>
                <w:lang w:val="en-US" w:eastAsia="zh-CN"/>
              </w:rPr>
              <w:t>27</w:t>
            </w:r>
          </w:p>
        </w:tc>
        <w:tc>
          <w:tcPr>
            <w:tcW w:w="1375" w:type="dxa"/>
            <w:vMerge w:val="continue"/>
            <w:tcBorders>
              <w:left w:val="single" w:color="auto" w:sz="4" w:space="0"/>
            </w:tcBorders>
            <w:noWrap w:val="0"/>
            <w:vAlign w:val="center"/>
          </w:tcPr>
          <w:p w14:paraId="3CC067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楷体_GB2312" w:cs="楷体_GB2312"/>
                <w:b/>
                <w:bCs/>
                <w:sz w:val="28"/>
                <w:szCs w:val="28"/>
                <w:lang w:eastAsia="zh-CN"/>
              </w:rPr>
            </w:pPr>
          </w:p>
        </w:tc>
        <w:tc>
          <w:tcPr>
            <w:tcW w:w="1429" w:type="dxa"/>
            <w:noWrap w:val="0"/>
            <w:vAlign w:val="center"/>
          </w:tcPr>
          <w:p w14:paraId="4683B1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sz w:val="28"/>
                <w:szCs w:val="28"/>
                <w:vertAlign w:val="baseline"/>
                <w:lang w:val="en-US" w:eastAsia="zh-CN"/>
              </w:rPr>
            </w:pPr>
            <w:r>
              <w:rPr>
                <w:rFonts w:hint="eastAsia" w:ascii="Times New Roman" w:hAnsi="Times New Roman" w:eastAsia="仿宋_GB2312" w:cs="仿宋_GB2312"/>
                <w:b w:val="0"/>
                <w:bCs w:val="0"/>
                <w:sz w:val="28"/>
                <w:szCs w:val="28"/>
                <w:vertAlign w:val="baseline"/>
                <w:lang w:val="en-US" w:eastAsia="zh-CN"/>
              </w:rPr>
              <w:t>2</w:t>
            </w:r>
            <w:r>
              <w:rPr>
                <w:rFonts w:hint="eastAsia" w:ascii="Times New Roman" w:hAnsi="Times New Roman" w:eastAsia="仿宋_GB2312" w:cs="Times New Roman"/>
                <w:color w:val="000000"/>
                <w:sz w:val="28"/>
                <w:szCs w:val="28"/>
                <w:lang w:val="en-US" w:eastAsia="zh-CN"/>
              </w:rPr>
              <w:t>.建立应急科普宣教协同机制</w:t>
            </w:r>
          </w:p>
        </w:tc>
        <w:tc>
          <w:tcPr>
            <w:tcW w:w="9049" w:type="dxa"/>
            <w:noWrap w:val="0"/>
            <w:vAlign w:val="center"/>
          </w:tcPr>
          <w:p w14:paraId="1D864C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探索建立市级应急科普工作联动协调机制，协调推进部门间应急科普宣教工作。在日常科普中融入应急理念和知识，积极开展应急科普宣教活动，及时做好政策解读、知识普及、舆情引导等工作。完善应急科普基础设施，建设消防安全科普馆、气象科普馆等应急科普宣教场馆，推动科技场馆、教育基地等设立应急科普宣教专区。</w:t>
            </w:r>
          </w:p>
        </w:tc>
        <w:tc>
          <w:tcPr>
            <w:tcW w:w="1350" w:type="dxa"/>
            <w:noWrap w:val="0"/>
            <w:vAlign w:val="center"/>
          </w:tcPr>
          <w:p w14:paraId="3C2E4BE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应急局</w:t>
            </w:r>
          </w:p>
        </w:tc>
        <w:tc>
          <w:tcPr>
            <w:tcW w:w="2058" w:type="dxa"/>
            <w:noWrap w:val="0"/>
            <w:vAlign w:val="center"/>
          </w:tcPr>
          <w:p w14:paraId="5931AE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sz w:val="21"/>
                <w:szCs w:val="20"/>
                <w:lang w:val="en-US" w:eastAsia="zh-CN"/>
              </w:rPr>
            </w:pPr>
            <w:r>
              <w:rPr>
                <w:rFonts w:hint="eastAsia" w:eastAsia="仿宋_GB2312" w:cs="仿宋_GB2312"/>
                <w:sz w:val="28"/>
                <w:szCs w:val="28"/>
                <w:lang w:val="en-US"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7A61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1" w:type="dxa"/>
            <w:tcBorders>
              <w:left w:val="single" w:color="auto" w:sz="4" w:space="0"/>
            </w:tcBorders>
            <w:noWrap w:val="0"/>
            <w:vAlign w:val="center"/>
          </w:tcPr>
          <w:p w14:paraId="461C20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序号</w:t>
            </w:r>
          </w:p>
        </w:tc>
        <w:tc>
          <w:tcPr>
            <w:tcW w:w="1375" w:type="dxa"/>
            <w:tcBorders>
              <w:left w:val="single" w:color="auto" w:sz="4" w:space="0"/>
            </w:tcBorders>
            <w:noWrap w:val="0"/>
            <w:vAlign w:val="center"/>
          </w:tcPr>
          <w:p w14:paraId="468D0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123DDA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14C10D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730A0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78C1E9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35CB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571" w:type="dxa"/>
            <w:tcBorders>
              <w:left w:val="single" w:color="auto" w:sz="4" w:space="0"/>
            </w:tcBorders>
            <w:noWrap w:val="0"/>
            <w:vAlign w:val="center"/>
          </w:tcPr>
          <w:p w14:paraId="3E0112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28</w:t>
            </w:r>
          </w:p>
        </w:tc>
        <w:tc>
          <w:tcPr>
            <w:tcW w:w="1375" w:type="dxa"/>
            <w:tcBorders>
              <w:left w:val="single" w:color="auto" w:sz="4" w:space="0"/>
            </w:tcBorders>
            <w:noWrap w:val="0"/>
            <w:vAlign w:val="center"/>
          </w:tcPr>
          <w:p w14:paraId="435112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vertAlign w:val="baseline"/>
                <w:lang w:eastAsia="zh-CN"/>
              </w:rPr>
            </w:pPr>
            <w:r>
              <w:rPr>
                <w:rStyle w:val="7"/>
                <w:rFonts w:hint="eastAsia" w:ascii="Times New Roman" w:hAnsi="Times New Roman" w:eastAsia="仿宋_GB2312" w:cs="仿宋_GB2312"/>
                <w:b/>
                <w:bCs/>
                <w:color w:val="000000"/>
                <w:sz w:val="28"/>
                <w:szCs w:val="28"/>
              </w:rPr>
              <w:t>基层科普能力提升</w:t>
            </w:r>
          </w:p>
        </w:tc>
        <w:tc>
          <w:tcPr>
            <w:tcW w:w="1429" w:type="dxa"/>
            <w:noWrap w:val="0"/>
            <w:vAlign w:val="center"/>
          </w:tcPr>
          <w:p w14:paraId="7DE783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kern w:val="2"/>
                <w:sz w:val="28"/>
                <w:szCs w:val="28"/>
                <w:vertAlign w:val="baseline"/>
                <w:lang w:val="en-US" w:eastAsia="zh-CN" w:bidi="ar-SA"/>
              </w:rPr>
            </w:pPr>
            <w:r>
              <w:rPr>
                <w:rFonts w:hint="eastAsia" w:ascii="Times New Roman" w:hAnsi="Times New Roman" w:eastAsia="仿宋_GB2312" w:cs="仿宋_GB2312"/>
                <w:b w:val="0"/>
                <w:bCs w:val="0"/>
                <w:sz w:val="28"/>
                <w:szCs w:val="28"/>
                <w:vertAlign w:val="baseline"/>
                <w:lang w:val="en-US" w:eastAsia="zh-CN"/>
              </w:rPr>
              <w:t>3</w:t>
            </w:r>
            <w:r>
              <w:rPr>
                <w:rFonts w:hint="default" w:ascii="Times New Roman" w:hAnsi="Times New Roman" w:eastAsia="仿宋_GB2312" w:cs="Times New Roman"/>
                <w:color w:val="000000"/>
                <w:sz w:val="28"/>
                <w:szCs w:val="28"/>
                <w:lang w:val="en-US" w:eastAsia="zh-CN"/>
              </w:rPr>
              <w:t>.广泛开展群众性科普活动</w:t>
            </w:r>
          </w:p>
        </w:tc>
        <w:tc>
          <w:tcPr>
            <w:tcW w:w="9049" w:type="dxa"/>
            <w:noWrap w:val="0"/>
            <w:vAlign w:val="center"/>
          </w:tcPr>
          <w:p w14:paraId="5AF16E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深入开展全国科普日、科技活动周、双创活动周等综合性科普品牌活动，坚持开展防灾减灾日、食品安全宣传周、安全生产月、公众科学日、世界环境日、世界气象日、中国航天日、世界地球日、世界粮食日、全国土地日、国家版图意识宣传周、爱国卫生运动等主题科普活动。动员各级各类科协组织、科技场馆、科普教育基地、大中小学校、企业、科研机构、社区等社会各界和广大科技工作者，采取走出去、请进来等多种方式，面向学校、社区、农村、企业等广泛开展贴近生产生活的主题性、群众性科普活动。</w:t>
            </w:r>
          </w:p>
        </w:tc>
        <w:tc>
          <w:tcPr>
            <w:tcW w:w="1350" w:type="dxa"/>
            <w:noWrap w:val="0"/>
            <w:vAlign w:val="center"/>
          </w:tcPr>
          <w:p w14:paraId="39E370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ascii="Times New Roman" w:hAnsi="Times New Roman" w:eastAsia="仿宋_GB2312" w:cs="Times New Roman"/>
                <w:color w:val="000000"/>
                <w:sz w:val="28"/>
                <w:szCs w:val="28"/>
                <w:lang w:val="en-US" w:eastAsia="zh-CN"/>
              </w:rPr>
              <w:t>科协</w:t>
            </w:r>
          </w:p>
        </w:tc>
        <w:tc>
          <w:tcPr>
            <w:tcW w:w="2058" w:type="dxa"/>
            <w:noWrap w:val="0"/>
            <w:vAlign w:val="center"/>
          </w:tcPr>
          <w:p w14:paraId="487F7D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0"/>
                <w:lang w:val="en-US" w:eastAsia="zh-CN"/>
              </w:rPr>
            </w:pPr>
            <w:r>
              <w:rPr>
                <w:rFonts w:hint="eastAsia" w:eastAsia="仿宋_GB2312" w:cs="仿宋_GB2312"/>
                <w:sz w:val="28"/>
                <w:szCs w:val="28"/>
                <w:lang w:val="en-US"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4E21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571" w:type="dxa"/>
            <w:tcBorders>
              <w:left w:val="single" w:color="auto" w:sz="4" w:space="0"/>
            </w:tcBorders>
            <w:noWrap w:val="0"/>
            <w:vAlign w:val="center"/>
          </w:tcPr>
          <w:p w14:paraId="6F2B29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kern w:val="2"/>
                <w:sz w:val="28"/>
                <w:szCs w:val="28"/>
                <w:vertAlign w:val="baseline"/>
                <w:lang w:val="en-US" w:eastAsia="zh-CN" w:bidi="ar-SA"/>
              </w:rPr>
            </w:pPr>
            <w:r>
              <w:rPr>
                <w:rFonts w:hint="eastAsia" w:eastAsia="仿宋_GB2312" w:cs="仿宋_GB2312"/>
                <w:b w:val="0"/>
                <w:bCs w:val="0"/>
                <w:kern w:val="2"/>
                <w:sz w:val="28"/>
                <w:szCs w:val="28"/>
                <w:vertAlign w:val="baseline"/>
                <w:lang w:val="en-US" w:eastAsia="zh-CN" w:bidi="ar-SA"/>
              </w:rPr>
              <w:t>29</w:t>
            </w:r>
          </w:p>
        </w:tc>
        <w:tc>
          <w:tcPr>
            <w:tcW w:w="1375" w:type="dxa"/>
            <w:vMerge w:val="restart"/>
            <w:tcBorders>
              <w:left w:val="single" w:color="auto" w:sz="4" w:space="0"/>
            </w:tcBorders>
            <w:noWrap w:val="0"/>
            <w:vAlign w:val="center"/>
          </w:tcPr>
          <w:p w14:paraId="0C7CE6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b/>
                <w:bCs/>
                <w:kern w:val="2"/>
                <w:sz w:val="28"/>
                <w:szCs w:val="28"/>
                <w:vertAlign w:val="baseline"/>
                <w:lang w:val="en-US" w:eastAsia="zh-CN" w:bidi="ar-SA"/>
              </w:rPr>
              <w:t>科普资源开发工程</w:t>
            </w:r>
          </w:p>
        </w:tc>
        <w:tc>
          <w:tcPr>
            <w:tcW w:w="1429" w:type="dxa"/>
            <w:noWrap w:val="0"/>
            <w:vAlign w:val="center"/>
          </w:tcPr>
          <w:p w14:paraId="55728A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kern w:val="2"/>
                <w:sz w:val="28"/>
                <w:szCs w:val="28"/>
                <w:vertAlign w:val="baseline"/>
                <w:lang w:val="en-US" w:eastAsia="zh-CN" w:bidi="ar-SA"/>
              </w:rPr>
            </w:pPr>
            <w:r>
              <w:rPr>
                <w:rFonts w:hint="default" w:ascii="Times New Roman" w:hAnsi="Times New Roman" w:eastAsia="仿宋_GB2312" w:cs="仿宋_GB2312"/>
                <w:b w:val="0"/>
                <w:bCs w:val="0"/>
                <w:sz w:val="28"/>
                <w:szCs w:val="28"/>
                <w:vertAlign w:val="baseline"/>
                <w:lang w:eastAsia="zh-CN"/>
              </w:rPr>
              <w:t>1</w:t>
            </w:r>
            <w:r>
              <w:rPr>
                <w:rFonts w:hint="eastAsia" w:ascii="Times New Roman" w:hAnsi="Times New Roman" w:eastAsia="仿宋_GB2312" w:cs="Times New Roman"/>
                <w:color w:val="000000"/>
                <w:sz w:val="28"/>
                <w:szCs w:val="28"/>
                <w:lang w:val="en-US" w:eastAsia="zh-CN"/>
              </w:rPr>
              <w:t>.加强科普人才培养</w:t>
            </w:r>
          </w:p>
        </w:tc>
        <w:tc>
          <w:tcPr>
            <w:tcW w:w="9049" w:type="dxa"/>
            <w:noWrap w:val="0"/>
            <w:vAlign w:val="center"/>
          </w:tcPr>
          <w:p w14:paraId="599D85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落实国家、自治区和我市中长期科技、教育、人才发展规划纲要，将科普人才发展纳入各级各类各行业人才发展规划。加强科普人才培养</w:t>
            </w:r>
            <w:r>
              <w:rPr>
                <w:rFonts w:hint="eastAsia"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加大面向各领域各层次科普人才的培训力度。利用“科创中国”“</w:t>
            </w:r>
            <w:r>
              <w:rPr>
                <w:rFonts w:hint="eastAsia" w:eastAsia="仿宋_GB2312" w:cs="Times New Roman"/>
                <w:color w:val="000000"/>
                <w:sz w:val="28"/>
                <w:szCs w:val="28"/>
                <w:lang w:val="en-US" w:eastAsia="zh-CN"/>
              </w:rPr>
              <w:t>赛创未来</w:t>
            </w:r>
            <w:r>
              <w:rPr>
                <w:rFonts w:hint="default" w:ascii="Times New Roman" w:hAnsi="Times New Roman" w:eastAsia="仿宋_GB2312" w:cs="Times New Roman"/>
                <w:color w:val="000000"/>
                <w:sz w:val="28"/>
                <w:szCs w:val="28"/>
                <w:lang w:val="en-US" w:eastAsia="zh-CN"/>
              </w:rPr>
              <w:t>”</w:t>
            </w:r>
            <w:r>
              <w:rPr>
                <w:rFonts w:hint="eastAsia" w:eastAsia="仿宋_GB2312" w:cs="Times New Roman"/>
                <w:color w:val="000000"/>
                <w:sz w:val="28"/>
                <w:szCs w:val="28"/>
                <w:lang w:val="en-US" w:eastAsia="zh-CN"/>
              </w:rPr>
              <w:t>“西安交大”等</w:t>
            </w:r>
            <w:r>
              <w:rPr>
                <w:rFonts w:hint="default" w:ascii="Times New Roman" w:hAnsi="Times New Roman" w:eastAsia="仿宋_GB2312" w:cs="Times New Roman"/>
                <w:color w:val="000000"/>
                <w:sz w:val="28"/>
                <w:szCs w:val="28"/>
                <w:lang w:val="en-US" w:eastAsia="zh-CN"/>
              </w:rPr>
              <w:t>对外交流平台，促进我</w:t>
            </w:r>
            <w:r>
              <w:rPr>
                <w:rFonts w:hint="eastAsia" w:eastAsia="仿宋_GB2312" w:cs="Times New Roman"/>
                <w:color w:val="000000"/>
                <w:sz w:val="28"/>
                <w:szCs w:val="28"/>
                <w:lang w:val="en-US" w:eastAsia="zh-CN"/>
              </w:rPr>
              <w:t>区</w:t>
            </w:r>
            <w:r>
              <w:rPr>
                <w:rFonts w:hint="default" w:ascii="Times New Roman" w:hAnsi="Times New Roman" w:eastAsia="仿宋_GB2312" w:cs="Times New Roman"/>
                <w:color w:val="000000"/>
                <w:sz w:val="28"/>
                <w:szCs w:val="28"/>
                <w:lang w:val="en-US" w:eastAsia="zh-CN"/>
              </w:rPr>
              <w:t>科普人才与相关国家科技人文交流和资源共享。</w:t>
            </w:r>
          </w:p>
        </w:tc>
        <w:tc>
          <w:tcPr>
            <w:tcW w:w="1350" w:type="dxa"/>
            <w:noWrap w:val="0"/>
            <w:vAlign w:val="center"/>
          </w:tcPr>
          <w:p w14:paraId="1FCADD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pacing w:val="-28"/>
                <w:sz w:val="28"/>
                <w:szCs w:val="28"/>
                <w:lang w:val="en-US" w:eastAsia="zh-CN"/>
              </w:rPr>
              <w:t>区委组织部</w:t>
            </w:r>
          </w:p>
        </w:tc>
        <w:tc>
          <w:tcPr>
            <w:tcW w:w="2058" w:type="dxa"/>
            <w:noWrap w:val="0"/>
            <w:vAlign w:val="center"/>
          </w:tcPr>
          <w:p w14:paraId="371E88D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20"/>
                <w:sz w:val="28"/>
                <w:szCs w:val="28"/>
                <w:lang w:val="en-US" w:eastAsia="zh-CN"/>
              </w:rPr>
            </w:pPr>
            <w:r>
              <w:rPr>
                <w:rFonts w:hint="eastAsia" w:eastAsia="仿宋_GB2312" w:cs="仿宋_GB2312"/>
                <w:sz w:val="28"/>
                <w:szCs w:val="28"/>
                <w:lang w:val="en-US"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2ACE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571" w:type="dxa"/>
            <w:tcBorders>
              <w:left w:val="single" w:color="auto" w:sz="4" w:space="0"/>
            </w:tcBorders>
            <w:noWrap w:val="0"/>
            <w:vAlign w:val="center"/>
          </w:tcPr>
          <w:p w14:paraId="6F1D34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30</w:t>
            </w:r>
          </w:p>
        </w:tc>
        <w:tc>
          <w:tcPr>
            <w:tcW w:w="1375" w:type="dxa"/>
            <w:vMerge w:val="continue"/>
            <w:tcBorders>
              <w:left w:val="single" w:color="auto" w:sz="4" w:space="0"/>
            </w:tcBorders>
            <w:noWrap w:val="0"/>
            <w:vAlign w:val="center"/>
          </w:tcPr>
          <w:p w14:paraId="6BF183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p>
        </w:tc>
        <w:tc>
          <w:tcPr>
            <w:tcW w:w="1429" w:type="dxa"/>
            <w:noWrap w:val="0"/>
            <w:vAlign w:val="center"/>
          </w:tcPr>
          <w:p w14:paraId="2C82DC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kern w:val="2"/>
                <w:sz w:val="28"/>
                <w:szCs w:val="28"/>
                <w:vertAlign w:val="baseline"/>
                <w:lang w:val="en-US" w:eastAsia="zh-CN" w:bidi="ar-SA"/>
              </w:rPr>
            </w:pPr>
            <w:r>
              <w:rPr>
                <w:rFonts w:hint="eastAsia" w:ascii="Times New Roman" w:hAnsi="Times New Roman" w:eastAsia="仿宋_GB2312" w:cs="仿宋_GB2312"/>
                <w:b w:val="0"/>
                <w:bCs w:val="0"/>
                <w:sz w:val="28"/>
                <w:szCs w:val="28"/>
                <w:vertAlign w:val="baseline"/>
                <w:lang w:val="en-US" w:eastAsia="zh-CN"/>
              </w:rPr>
              <w:t>2</w:t>
            </w:r>
            <w:r>
              <w:rPr>
                <w:rFonts w:hint="default" w:ascii="Times New Roman" w:hAnsi="Times New Roman" w:eastAsia="仿宋_GB2312" w:cs="Times New Roman"/>
                <w:color w:val="000000"/>
                <w:sz w:val="28"/>
                <w:szCs w:val="28"/>
                <w:lang w:val="en-US" w:eastAsia="zh-CN"/>
              </w:rPr>
              <w:t>.</w:t>
            </w:r>
            <w:r>
              <w:rPr>
                <w:rFonts w:hint="eastAsia" w:ascii="Times New Roman" w:hAnsi="Times New Roman" w:eastAsia="仿宋_GB2312" w:cs="Times New Roman"/>
                <w:color w:val="000000"/>
                <w:sz w:val="28"/>
                <w:szCs w:val="28"/>
                <w:lang w:val="en-US" w:eastAsia="zh-CN"/>
              </w:rPr>
              <w:t>繁荣科普创作</w:t>
            </w:r>
          </w:p>
        </w:tc>
        <w:tc>
          <w:tcPr>
            <w:tcW w:w="9049" w:type="dxa"/>
            <w:noWrap w:val="0"/>
            <w:vAlign w:val="center"/>
          </w:tcPr>
          <w:p w14:paraId="1BB6F8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加大对优秀原创科普作品的扶持奖励力度，吸引和鼓励社会各界参与科普作品创作。支持面向世界科技前沿、面向经济主战场、面向国家重大需求、面向人民生命健康等重大题材开展科普创作。支持围绕重点人群，开发一批针对性强的科普资源。支持开发动漫、短视频、游戏等多种形式科普作品。</w:t>
            </w:r>
          </w:p>
        </w:tc>
        <w:tc>
          <w:tcPr>
            <w:tcW w:w="1350" w:type="dxa"/>
            <w:noWrap w:val="0"/>
            <w:vAlign w:val="center"/>
          </w:tcPr>
          <w:p w14:paraId="2EC215A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科协</w:t>
            </w:r>
          </w:p>
        </w:tc>
        <w:tc>
          <w:tcPr>
            <w:tcW w:w="2058" w:type="dxa"/>
            <w:noWrap w:val="0"/>
            <w:vAlign w:val="center"/>
          </w:tcPr>
          <w:p w14:paraId="3F8D7B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spacing w:val="-20"/>
                <w:sz w:val="28"/>
                <w:szCs w:val="28"/>
                <w:lang w:val="en-US" w:eastAsia="zh-CN"/>
              </w:rPr>
            </w:pPr>
            <w:r>
              <w:rPr>
                <w:rFonts w:hint="eastAsia" w:eastAsia="仿宋_GB2312" w:cs="仿宋_GB2312"/>
                <w:sz w:val="28"/>
                <w:szCs w:val="28"/>
                <w:lang w:val="en-US" w:eastAsia="zh-CN"/>
              </w:rPr>
              <w:t>区</w:t>
            </w:r>
            <w:r>
              <w:rPr>
                <w:rFonts w:hint="default" w:eastAsia="仿宋_GB2312" w:cs="仿宋_GB2312"/>
                <w:sz w:val="28"/>
                <w:szCs w:val="28"/>
                <w:lang w:eastAsia="zh-CN"/>
              </w:rPr>
              <w:t>全民科学素质工作领导小组</w:t>
            </w:r>
            <w:r>
              <w:rPr>
                <w:rFonts w:hint="eastAsia" w:eastAsia="仿宋_GB2312" w:cs="仿宋_GB2312"/>
                <w:sz w:val="28"/>
                <w:szCs w:val="28"/>
                <w:lang w:val="en-US" w:eastAsia="zh-CN"/>
              </w:rPr>
              <w:t>各成员单位</w:t>
            </w:r>
          </w:p>
        </w:tc>
      </w:tr>
      <w:tr w14:paraId="5407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1" w:type="dxa"/>
            <w:tcBorders>
              <w:left w:val="single" w:color="auto" w:sz="4" w:space="0"/>
            </w:tcBorders>
            <w:noWrap w:val="0"/>
            <w:vAlign w:val="center"/>
          </w:tcPr>
          <w:p w14:paraId="359ED1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序号</w:t>
            </w:r>
          </w:p>
        </w:tc>
        <w:tc>
          <w:tcPr>
            <w:tcW w:w="1375" w:type="dxa"/>
            <w:tcBorders>
              <w:left w:val="single" w:color="auto" w:sz="4" w:space="0"/>
            </w:tcBorders>
            <w:noWrap w:val="0"/>
            <w:vAlign w:val="center"/>
          </w:tcPr>
          <w:p w14:paraId="16A8A2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五大行动五大工程</w:t>
            </w:r>
          </w:p>
        </w:tc>
        <w:tc>
          <w:tcPr>
            <w:tcW w:w="1429" w:type="dxa"/>
            <w:noWrap w:val="0"/>
            <w:vAlign w:val="center"/>
          </w:tcPr>
          <w:p w14:paraId="59B1A4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主要任务</w:t>
            </w:r>
          </w:p>
        </w:tc>
        <w:tc>
          <w:tcPr>
            <w:tcW w:w="9049" w:type="dxa"/>
            <w:noWrap w:val="0"/>
            <w:vAlign w:val="center"/>
          </w:tcPr>
          <w:p w14:paraId="727A2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具体措施</w:t>
            </w:r>
          </w:p>
        </w:tc>
        <w:tc>
          <w:tcPr>
            <w:tcW w:w="1350" w:type="dxa"/>
            <w:noWrap w:val="0"/>
            <w:vAlign w:val="center"/>
          </w:tcPr>
          <w:p w14:paraId="6F06AA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z w:val="28"/>
                <w:szCs w:val="28"/>
                <w:vertAlign w:val="baseline"/>
                <w:lang w:val="en-US" w:eastAsia="zh-CN"/>
              </w:rPr>
              <w:t>牵头部门</w:t>
            </w:r>
          </w:p>
        </w:tc>
        <w:tc>
          <w:tcPr>
            <w:tcW w:w="2058" w:type="dxa"/>
            <w:noWrap w:val="0"/>
            <w:vAlign w:val="center"/>
          </w:tcPr>
          <w:p w14:paraId="44A163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黑体" w:cs="黑体"/>
                <w:spacing w:val="-20"/>
                <w:kern w:val="2"/>
                <w:sz w:val="28"/>
                <w:szCs w:val="28"/>
                <w:vertAlign w:val="baseline"/>
                <w:lang w:val="en-US" w:eastAsia="zh-CN" w:bidi="ar-SA"/>
              </w:rPr>
            </w:pPr>
            <w:r>
              <w:rPr>
                <w:rFonts w:hint="eastAsia" w:ascii="Times New Roman" w:hAnsi="Times New Roman" w:eastAsia="黑体" w:cs="黑体"/>
                <w:spacing w:val="-20"/>
                <w:sz w:val="28"/>
                <w:szCs w:val="28"/>
                <w:vertAlign w:val="baseline"/>
                <w:lang w:val="en-US" w:eastAsia="zh-CN"/>
              </w:rPr>
              <w:t>责任单位</w:t>
            </w:r>
          </w:p>
        </w:tc>
      </w:tr>
      <w:tr w14:paraId="0893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571" w:type="dxa"/>
            <w:tcBorders>
              <w:left w:val="single" w:color="auto" w:sz="4" w:space="0"/>
            </w:tcBorders>
            <w:noWrap w:val="0"/>
            <w:vAlign w:val="center"/>
          </w:tcPr>
          <w:p w14:paraId="0E0179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b w:val="0"/>
                <w:bCs w:val="0"/>
                <w:sz w:val="28"/>
                <w:szCs w:val="28"/>
                <w:vertAlign w:val="baseline"/>
                <w:lang w:val="en-US" w:eastAsia="zh-CN"/>
              </w:rPr>
            </w:pPr>
            <w:r>
              <w:rPr>
                <w:rFonts w:hint="eastAsia" w:eastAsia="仿宋_GB2312" w:cs="仿宋_GB2312"/>
                <w:b w:val="0"/>
                <w:bCs w:val="0"/>
                <w:sz w:val="28"/>
                <w:szCs w:val="28"/>
                <w:vertAlign w:val="baseline"/>
                <w:lang w:val="en-US" w:eastAsia="zh-CN"/>
              </w:rPr>
              <w:t>31</w:t>
            </w:r>
          </w:p>
        </w:tc>
        <w:tc>
          <w:tcPr>
            <w:tcW w:w="1375" w:type="dxa"/>
            <w:tcBorders>
              <w:left w:val="single" w:color="auto" w:sz="4" w:space="0"/>
            </w:tcBorders>
            <w:noWrap w:val="0"/>
            <w:vAlign w:val="center"/>
          </w:tcPr>
          <w:p w14:paraId="233339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b/>
                <w:bCs/>
                <w:kern w:val="2"/>
                <w:sz w:val="28"/>
                <w:szCs w:val="28"/>
                <w:vertAlign w:val="baseline"/>
                <w:lang w:val="en-US" w:eastAsia="zh-CN" w:bidi="ar-SA"/>
              </w:rPr>
              <w:t>科普资源开发工程</w:t>
            </w:r>
          </w:p>
        </w:tc>
        <w:tc>
          <w:tcPr>
            <w:tcW w:w="1429" w:type="dxa"/>
            <w:noWrap w:val="0"/>
            <w:vAlign w:val="center"/>
          </w:tcPr>
          <w:p w14:paraId="7C06A3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b/>
                <w:bCs/>
                <w:kern w:val="2"/>
                <w:sz w:val="28"/>
                <w:szCs w:val="28"/>
                <w:vertAlign w:val="baseline"/>
                <w:lang w:val="en-US" w:eastAsia="zh-CN" w:bidi="ar-SA"/>
              </w:rPr>
            </w:pPr>
            <w:r>
              <w:rPr>
                <w:rFonts w:hint="eastAsia" w:ascii="Times New Roman" w:hAnsi="Times New Roman" w:eastAsia="仿宋_GB2312" w:cs="仿宋_GB2312"/>
                <w:b w:val="0"/>
                <w:bCs w:val="0"/>
                <w:sz w:val="28"/>
                <w:szCs w:val="28"/>
                <w:vertAlign w:val="baseline"/>
                <w:lang w:val="en-US" w:eastAsia="zh-CN"/>
              </w:rPr>
              <w:t>3</w:t>
            </w:r>
            <w:r>
              <w:rPr>
                <w:rFonts w:hint="default" w:ascii="Times New Roman" w:hAnsi="Times New Roman" w:eastAsia="仿宋_GB2312" w:cs="Times New Roman"/>
                <w:color w:val="000000"/>
                <w:sz w:val="28"/>
                <w:szCs w:val="28"/>
                <w:lang w:val="en-US" w:eastAsia="zh-CN"/>
              </w:rPr>
              <w:t>.</w:t>
            </w:r>
            <w:r>
              <w:rPr>
                <w:rFonts w:hint="eastAsia" w:ascii="Times New Roman" w:hAnsi="Times New Roman" w:eastAsia="仿宋_GB2312" w:cs="Times New Roman"/>
                <w:color w:val="000000"/>
                <w:sz w:val="28"/>
                <w:szCs w:val="28"/>
                <w:lang w:val="en-US" w:eastAsia="zh-CN"/>
              </w:rPr>
              <w:t>发展科普文化产业</w:t>
            </w:r>
          </w:p>
        </w:tc>
        <w:tc>
          <w:tcPr>
            <w:tcW w:w="9049" w:type="dxa"/>
            <w:noWrap w:val="0"/>
            <w:vAlign w:val="center"/>
          </w:tcPr>
          <w:p w14:paraId="650F54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推动科普展览、科技教育、科普展教、科普影视、科普书刊、科普音像电子出版物、科普玩具、科普旅游、科普网络与信息等科普产业的发展，培育一批具有一定实力和规模的科普创意设计、科普自媒体、科普文旅、科普研学、产品研发、展示展览、科普服务等特色市场主体。充分运用市场手段，让科普文化产业成为新的经济增长点，实现科普文化+产业经济的融合发展。</w:t>
            </w:r>
          </w:p>
        </w:tc>
        <w:tc>
          <w:tcPr>
            <w:tcW w:w="1350" w:type="dxa"/>
            <w:noWrap w:val="0"/>
            <w:vAlign w:val="center"/>
          </w:tcPr>
          <w:p w14:paraId="436637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Times New Roman"/>
                <w:color w:val="000000"/>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z w:val="28"/>
                <w:szCs w:val="28"/>
                <w:lang w:val="en-US" w:eastAsia="zh-CN"/>
              </w:rPr>
              <w:t>科协</w:t>
            </w:r>
          </w:p>
        </w:tc>
        <w:tc>
          <w:tcPr>
            <w:tcW w:w="2058" w:type="dxa"/>
            <w:noWrap w:val="0"/>
            <w:vAlign w:val="center"/>
          </w:tcPr>
          <w:p w14:paraId="5875C65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委网信办</w:t>
            </w:r>
          </w:p>
          <w:p w14:paraId="7CFDBB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教育局</w:t>
            </w:r>
          </w:p>
          <w:p w14:paraId="059494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区科技</w:t>
            </w:r>
            <w:r>
              <w:rPr>
                <w:rFonts w:hint="eastAsia" w:eastAsia="仿宋_GB2312" w:cs="Times New Roman"/>
                <w:color w:val="000000"/>
                <w:spacing w:val="6"/>
                <w:sz w:val="28"/>
                <w:szCs w:val="28"/>
                <w:lang w:val="en-US" w:eastAsia="zh-CN"/>
              </w:rPr>
              <w:t>局</w:t>
            </w:r>
          </w:p>
          <w:p w14:paraId="2A8C258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cs="Times New Roman"/>
                <w:color w:val="000000"/>
                <w:spacing w:val="6"/>
                <w:sz w:val="28"/>
                <w:szCs w:val="28"/>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商务局</w:t>
            </w:r>
          </w:p>
          <w:p w14:paraId="79AB55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Times New Roman"/>
                <w:color w:val="000000"/>
                <w:spacing w:val="-28"/>
                <w:sz w:val="28"/>
                <w:szCs w:val="28"/>
                <w:lang w:val="en-US" w:eastAsia="zh-CN"/>
              </w:rPr>
            </w:pPr>
            <w:r>
              <w:rPr>
                <w:rFonts w:hint="eastAsia" w:ascii="Times New Roman" w:hAnsi="Times New Roman" w:eastAsia="仿宋_GB2312" w:cs="Times New Roman"/>
                <w:color w:val="000000"/>
                <w:spacing w:val="-28"/>
                <w:sz w:val="28"/>
                <w:szCs w:val="28"/>
                <w:lang w:val="en-US" w:eastAsia="zh-CN"/>
              </w:rPr>
              <w:t>区文体旅游广电局</w:t>
            </w:r>
          </w:p>
          <w:p w14:paraId="6163CE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宋体" w:cs="Times New Roman"/>
                <w:sz w:val="21"/>
                <w:szCs w:val="20"/>
                <w:lang w:val="en-US" w:eastAsia="zh-CN"/>
              </w:rPr>
            </w:pPr>
            <w:r>
              <w:rPr>
                <w:rFonts w:hint="eastAsia" w:eastAsia="仿宋_GB2312" w:cs="仿宋_GB2312"/>
                <w:sz w:val="28"/>
                <w:szCs w:val="28"/>
                <w:lang w:val="en-US" w:eastAsia="zh-CN"/>
              </w:rPr>
              <w:t>区</w:t>
            </w:r>
            <w:r>
              <w:rPr>
                <w:rFonts w:hint="eastAsia" w:eastAsia="仿宋_GB2312" w:cs="Times New Roman"/>
                <w:color w:val="000000"/>
                <w:spacing w:val="6"/>
                <w:sz w:val="28"/>
                <w:szCs w:val="28"/>
                <w:lang w:val="en-US" w:eastAsia="zh-CN"/>
              </w:rPr>
              <w:t>市场监管局</w:t>
            </w:r>
          </w:p>
        </w:tc>
      </w:tr>
    </w:tbl>
    <w:p w14:paraId="0A589015">
      <w:pPr>
        <w:rPr>
          <w:rFonts w:hint="eastAsia" w:eastAsia="宋体" w:cs="Times New Roman"/>
          <w:sz w:val="21"/>
          <w:szCs w:val="20"/>
          <w:lang w:eastAsia="zh-CN"/>
        </w:rPr>
      </w:pPr>
    </w:p>
    <w:p w14:paraId="50DAB3D9">
      <w:pPr>
        <w:rPr>
          <w:rFonts w:hint="default" w:ascii="Times New Roman" w:hAnsi="Times New Roman" w:cs="Times New Roman"/>
          <w:sz w:val="32"/>
          <w:szCs w:val="32"/>
        </w:rPr>
      </w:pPr>
    </w:p>
    <w:p w14:paraId="44111A2E">
      <w:pPr>
        <w:rPr>
          <w:rFonts w:hint="default" w:ascii="Times New Roman" w:hAnsi="Times New Roman" w:eastAsia="仿宋_GB2312" w:cs="Times New Roman"/>
          <w:sz w:val="28"/>
          <w:szCs w:val="28"/>
        </w:rPr>
      </w:pPr>
    </w:p>
    <w:p w14:paraId="34E7B0E2">
      <w:pPr>
        <w:rPr>
          <w:rFonts w:hint="default" w:ascii="Times New Roman" w:hAnsi="Times New Roman" w:eastAsia="仿宋_GB2312" w:cs="Times New Roman"/>
          <w:sz w:val="28"/>
          <w:szCs w:val="28"/>
        </w:rPr>
      </w:pPr>
    </w:p>
    <w:p w14:paraId="145B32AF">
      <w:pPr>
        <w:rPr>
          <w:rFonts w:hint="default" w:ascii="Times New Roman" w:hAnsi="Times New Roman" w:eastAsia="仿宋_GB2312" w:cs="Times New Roman"/>
          <w:sz w:val="28"/>
          <w:szCs w:val="28"/>
        </w:rPr>
        <w:sectPr>
          <w:pgSz w:w="16838" w:h="11850" w:orient="landscape"/>
          <w:pgMar w:top="839" w:right="1043" w:bottom="839" w:left="952" w:header="851" w:footer="992" w:gutter="0"/>
          <w:cols w:space="425" w:num="1"/>
          <w:titlePg/>
          <w:docGrid w:type="lines" w:linePitch="312" w:charSpace="0"/>
        </w:sectPr>
      </w:pPr>
    </w:p>
    <w:p w14:paraId="2CE5EC0C">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1B6A79D8">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1585D5CF">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0E3465B9">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667129D8">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6C7F73C7">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6FF4C495">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53D268D1">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448375D9">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6DA06CA8">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2AF2F63D">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163E965E">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6920F4AE">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5D83451A">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00A4759B">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79422170">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259EBEAE">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0845A089">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48E14452">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6FBB605F">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5CEBFB18">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11C4852D">
      <w:pPr>
        <w:pStyle w:val="2"/>
        <w:keepNext w:val="0"/>
        <w:keepLines w:val="0"/>
        <w:pageBreakBefore w:val="0"/>
        <w:widowControl/>
        <w:kinsoku/>
        <w:wordWrap/>
        <w:overflowPunct/>
        <w:topLinePunct w:val="0"/>
        <w:autoSpaceDE/>
        <w:autoSpaceDN/>
        <w:bidi w:val="0"/>
        <w:adjustRightInd/>
        <w:snapToGrid/>
        <w:spacing w:line="600" w:lineRule="exact"/>
        <w:textAlignment w:val="auto"/>
        <w:rPr>
          <w:rFonts w:hint="default"/>
        </w:rPr>
      </w:pPr>
    </w:p>
    <w:p w14:paraId="593935FE">
      <w:pPr>
        <w:jc w:val="center"/>
        <w:rPr>
          <w:rFonts w:hint="default" w:ascii="Times New Roman" w:hAnsi="Times New Roman" w:cs="Times New Roman"/>
        </w:rPr>
      </w:pPr>
      <w:r>
        <w:rPr>
          <w:sz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403860</wp:posOffset>
                </wp:positionV>
                <wp:extent cx="5760085" cy="0"/>
                <wp:effectExtent l="0" t="0" r="0" b="0"/>
                <wp:wrapNone/>
                <wp:docPr id="4" name="直接连接符 2"/>
                <wp:cNvGraphicFramePr/>
                <a:graphic xmlns:a="http://schemas.openxmlformats.org/drawingml/2006/main">
                  <a:graphicData uri="http://schemas.microsoft.com/office/word/2010/wordprocessingShape">
                    <wps:wsp>
                      <wps:cNvCnPr/>
                      <wps:spPr>
                        <a:xfrm>
                          <a:off x="900430" y="9617075"/>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left:0.05pt;margin-top:31.8pt;height:0pt;width:453.55pt;z-index:251660288;mso-width-relative:page;mso-height-relative:page;" filled="f" stroked="t" coordsize="21600,21600" o:gfxdata="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rTUV0gAAAAYBAAAPAAAAAAAAAAEAIAAAACIAAABkcnMvZG93&#10;bnJldi54bWxQSwECFAAUAAAACACHTuJA61n/QgYCAAD9AwAADgAAAAAAAAABACAAAAAhAQAAZHJz&#10;L2Uyb0RvYy54bWxQSwUGAAAAAAYABgBZAQAAmQ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59690</wp:posOffset>
                </wp:positionV>
                <wp:extent cx="5760085" cy="0"/>
                <wp:effectExtent l="0" t="0" r="0" b="0"/>
                <wp:wrapNone/>
                <wp:docPr id="2" name="直接连接符 1"/>
                <wp:cNvGraphicFramePr/>
                <a:graphic xmlns:a="http://schemas.openxmlformats.org/drawingml/2006/main">
                  <a:graphicData uri="http://schemas.microsoft.com/office/word/2010/wordprocessingShape">
                    <wps:wsp>
                      <wps:cNvCnPr/>
                      <wps:spPr>
                        <a:xfrm>
                          <a:off x="900430" y="9272905"/>
                          <a:ext cx="576008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0.05pt;margin-top:4.7pt;height:0pt;width:453.55pt;z-index:251659264;mso-width-relative:page;mso-height-relative:page;" filled="f" stroked="t" coordsize="21600,21600" o:gfxdata="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eDsxzRAAAABAEAAA8AAAAAAAAAAQAgAAAAIgAAAGRycy9kb3du&#10;cmV2LnhtbFBLAQIUABQAAAAIAIdO4kCZeMbUBgIAAP0DAAAOAAAAAAAAAAEAIAAAACABAABkcnMv&#10;ZTJvRG9jLnhtbFBLBQYAAAAABgAGAFkBAACY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昆都仑区人民政府办公室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cs="Times New Roman"/>
          <w:sz w:val="28"/>
          <w:szCs w:val="28"/>
          <w:lang w:val="en-US" w:eastAsia="zh-CN"/>
        </w:rPr>
        <w:t>11</w:t>
      </w:r>
      <w:r>
        <w:rPr>
          <w:rFonts w:hint="default" w:ascii="Times New Roman" w:hAnsi="Times New Roman" w:eastAsia="仿宋_GB2312" w:cs="Times New Roman"/>
          <w:sz w:val="28"/>
          <w:szCs w:val="28"/>
        </w:rPr>
        <w:t>月</w:t>
      </w:r>
      <w:r>
        <w:rPr>
          <w:rFonts w:hint="eastAsia" w:cs="Times New Roman"/>
          <w:sz w:val="28"/>
          <w:szCs w:val="28"/>
          <w:lang w:val="en-US" w:eastAsia="zh-CN"/>
        </w:rPr>
        <w:t>28</w:t>
      </w:r>
      <w:r>
        <w:rPr>
          <w:rFonts w:hint="default" w:ascii="Times New Roman" w:hAnsi="Times New Roman" w:eastAsia="仿宋_GB2312" w:cs="Times New Roman"/>
          <w:sz w:val="28"/>
          <w:szCs w:val="28"/>
        </w:rPr>
        <w:t>日印发</w:t>
      </w:r>
    </w:p>
    <w:sectPr>
      <w:pgSz w:w="11850" w:h="16838"/>
      <w:pgMar w:top="1417" w:right="1417" w:bottom="1417" w:left="141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362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3B61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233B61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lmOTk3NjExZDA4Y2JhMTZiZGY1ZTQzNzYyZGIifQ=="/>
  </w:docVars>
  <w:rsids>
    <w:rsidRoot w:val="D5DED5A8"/>
    <w:rsid w:val="28820F4C"/>
    <w:rsid w:val="2FA7C7CB"/>
    <w:rsid w:val="4C1215D7"/>
    <w:rsid w:val="4D3D0497"/>
    <w:rsid w:val="79EDF7CC"/>
    <w:rsid w:val="7F7ECBAA"/>
    <w:rsid w:val="BAAADC69"/>
    <w:rsid w:val="CFFBC200"/>
    <w:rsid w:val="D5DED5A8"/>
    <w:rsid w:val="F3F7C0A3"/>
    <w:rsid w:val="F9C7EF6F"/>
    <w:rsid w:val="FAFD8E78"/>
    <w:rsid w:val="FB7DEB72"/>
    <w:rsid w:val="FBF33A27"/>
    <w:rsid w:val="FDDFCEEE"/>
    <w:rsid w:val="FFBBB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4"/>
      <w:szCs w:val="3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 Text First Indent1"/>
    <w:qFormat/>
    <w:uiPriority w:val="0"/>
    <w:pPr>
      <w:ind w:firstLine="100" w:firstLineChars="100"/>
    </w:pPr>
    <w:rPr>
      <w:rFonts w:ascii="Times New Roman" w:hAnsi="Times New Roman" w:eastAsia="宋体" w:cs="Times New Roman"/>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仿宋_GB2312" w:cstheme="minorBidi"/>
      <w:kern w:val="2"/>
      <w:sz w:val="18"/>
      <w:szCs w:val="3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7599</Words>
  <Characters>7738</Characters>
  <Lines>0</Lines>
  <Paragraphs>0</Paragraphs>
  <TotalTime>0</TotalTime>
  <ScaleCrop>false</ScaleCrop>
  <LinksUpToDate>false</LinksUpToDate>
  <CharactersWithSpaces>7738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2023-08-18T11:21:00Z</dcterms:created>
  <dc:creator> </dc:creator>
  <cp:lastModifiedBy> </cp:lastModifiedBy>
  <dcterms:modified xsi:type="dcterms:W3CDTF">2024-11-18T08:20:50Z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D177C4677E9B4E68AEED7F29759E08B2_12</vt:lpwstr>
  </property>
</Properties>
</file>