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5" w:line="219" w:lineRule="auto"/>
        <w:ind w:left="4869"/>
        <w:rPr>
          <w:rFonts w:hint="eastAsia" w:ascii="宋体" w:hAnsi="宋体" w:eastAsia="宋体" w:cs="宋体"/>
          <w:b/>
          <w:bCs/>
          <w:spacing w:val="7"/>
          <w:sz w:val="33"/>
          <w:szCs w:val="33"/>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昆区财政局</w:t>
      </w:r>
      <w:r>
        <w:rPr>
          <w:rFonts w:hint="eastAsia" w:ascii="方正小标宋简体" w:hAnsi="方正小标宋简体" w:eastAsia="方正小标宋简体" w:cs="方正小标宋简体"/>
          <w:sz w:val="44"/>
          <w:szCs w:val="44"/>
        </w:rPr>
        <w:t>主动公开事项目录</w:t>
      </w:r>
    </w:p>
    <w:p>
      <w:pPr>
        <w:jc w:val="center"/>
        <w:rPr>
          <w:rFonts w:hint="eastAsia" w:ascii="方正小标宋简体" w:hAnsi="方正小标宋简体" w:eastAsia="方正小标宋简体" w:cs="方正小标宋简体"/>
          <w:sz w:val="44"/>
          <w:szCs w:val="44"/>
        </w:rPr>
      </w:pPr>
    </w:p>
    <w:p>
      <w:pPr>
        <w:spacing w:line="104" w:lineRule="exact"/>
      </w:pPr>
    </w:p>
    <w:tbl>
      <w:tblPr>
        <w:tblStyle w:val="6"/>
        <w:tblW w:w="21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773"/>
        <w:gridCol w:w="870"/>
        <w:gridCol w:w="5535"/>
        <w:gridCol w:w="1950"/>
        <w:gridCol w:w="3990"/>
        <w:gridCol w:w="1050"/>
        <w:gridCol w:w="735"/>
        <w:gridCol w:w="885"/>
        <w:gridCol w:w="1155"/>
        <w:gridCol w:w="960"/>
        <w:gridCol w:w="780"/>
        <w:gridCol w:w="735"/>
        <w:gridCol w:w="585"/>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489" w:type="dxa"/>
            <w:gridSpan w:val="3"/>
            <w:vAlign w:val="top"/>
          </w:tcPr>
          <w:p>
            <w:pPr>
              <w:pStyle w:val="7"/>
              <w:spacing w:before="44" w:line="209" w:lineRule="auto"/>
              <w:ind w:left="644"/>
              <w:rPr>
                <w:sz w:val="22"/>
                <w:szCs w:val="22"/>
              </w:rPr>
            </w:pPr>
            <w:r>
              <w:rPr>
                <w:spacing w:val="3"/>
                <w:sz w:val="22"/>
                <w:szCs w:val="22"/>
              </w:rPr>
              <w:t>公开事项</w:t>
            </w:r>
          </w:p>
        </w:tc>
        <w:tc>
          <w:tcPr>
            <w:tcW w:w="5535" w:type="dxa"/>
            <w:vMerge w:val="restart"/>
            <w:tcBorders>
              <w:bottom w:val="nil"/>
            </w:tcBorders>
            <w:vAlign w:val="center"/>
          </w:tcPr>
          <w:p>
            <w:pPr>
              <w:spacing w:line="469" w:lineRule="auto"/>
              <w:jc w:val="both"/>
              <w:rPr>
                <w:rFonts w:ascii="Arial"/>
                <w:sz w:val="21"/>
              </w:rPr>
            </w:pPr>
          </w:p>
          <w:p>
            <w:pPr>
              <w:jc w:val="center"/>
              <w:rPr>
                <w:sz w:val="22"/>
                <w:szCs w:val="22"/>
              </w:rPr>
            </w:pPr>
            <w:r>
              <w:rPr>
                <w:rFonts w:hint="eastAsia" w:asciiTheme="minorEastAsia" w:hAnsiTheme="minorEastAsia" w:eastAsiaTheme="minorEastAsia" w:cstheme="minorEastAsia"/>
                <w:sz w:val="22"/>
                <w:szCs w:val="22"/>
              </w:rPr>
              <w:t>公开内容(要素)</w:t>
            </w:r>
          </w:p>
        </w:tc>
        <w:tc>
          <w:tcPr>
            <w:tcW w:w="1950"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公开依据</w:t>
            </w:r>
          </w:p>
        </w:tc>
        <w:tc>
          <w:tcPr>
            <w:tcW w:w="3990" w:type="dxa"/>
            <w:vMerge w:val="restart"/>
            <w:tcBorders>
              <w:bottom w:val="nil"/>
            </w:tcBorders>
            <w:vAlign w:val="top"/>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条款内容</w:t>
            </w:r>
          </w:p>
        </w:tc>
        <w:tc>
          <w:tcPr>
            <w:tcW w:w="1050"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依据效 力位阶</w:t>
            </w:r>
          </w:p>
        </w:tc>
        <w:tc>
          <w:tcPr>
            <w:tcW w:w="735"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 时限</w:t>
            </w:r>
          </w:p>
        </w:tc>
        <w:tc>
          <w:tcPr>
            <w:tcW w:w="885"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 主体</w:t>
            </w:r>
          </w:p>
        </w:tc>
        <w:tc>
          <w:tcPr>
            <w:tcW w:w="1155"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事项类别</w:t>
            </w: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(法定公</w:t>
            </w: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开、其他)</w:t>
            </w:r>
          </w:p>
        </w:tc>
        <w:tc>
          <w:tcPr>
            <w:tcW w:w="960"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公开渠道和载体</w:t>
            </w:r>
          </w:p>
        </w:tc>
        <w:tc>
          <w:tcPr>
            <w:tcW w:w="1515" w:type="dxa"/>
            <w:gridSpan w:val="2"/>
            <w:vAlign w:val="top"/>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公开对象</w:t>
            </w:r>
          </w:p>
        </w:tc>
        <w:tc>
          <w:tcPr>
            <w:tcW w:w="585" w:type="dxa"/>
            <w:vMerge w:val="restart"/>
            <w:tcBorders>
              <w:bottom w:val="nil"/>
            </w:tcBorders>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责 任 科 室</w:t>
            </w:r>
          </w:p>
        </w:tc>
        <w:tc>
          <w:tcPr>
            <w:tcW w:w="1020" w:type="dxa"/>
            <w:vMerge w:val="restart"/>
            <w:tcBorders>
              <w:bottom w:val="nil"/>
            </w:tcBorders>
            <w:vAlign w:val="center"/>
          </w:tcPr>
          <w:p>
            <w:pPr>
              <w:jc w:val="center"/>
              <w:rPr>
                <w:rFonts w:hint="eastAsia" w:asciiTheme="minorEastAsia" w:hAnsiTheme="minorEastAsia" w:eastAsiaTheme="minorEastAsia" w:cstheme="minorEastAsia"/>
                <w:sz w:val="22"/>
                <w:szCs w:val="22"/>
              </w:rPr>
            </w:pPr>
          </w:p>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对应 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846" w:type="dxa"/>
            <w:vAlign w:val="top"/>
          </w:tcPr>
          <w:p>
            <w:pPr>
              <w:spacing w:line="308" w:lineRule="auto"/>
              <w:rPr>
                <w:rFonts w:ascii="Arial"/>
                <w:sz w:val="21"/>
              </w:rPr>
            </w:pPr>
          </w:p>
          <w:p>
            <w:pPr>
              <w:pStyle w:val="7"/>
              <w:spacing w:before="72" w:line="231" w:lineRule="auto"/>
              <w:ind w:left="165" w:right="155"/>
              <w:rPr>
                <w:sz w:val="22"/>
                <w:szCs w:val="22"/>
              </w:rPr>
            </w:pPr>
            <w:r>
              <w:rPr>
                <w:spacing w:val="6"/>
                <w:sz w:val="22"/>
                <w:szCs w:val="22"/>
              </w:rPr>
              <w:t>一级</w:t>
            </w:r>
            <w:r>
              <w:rPr>
                <w:sz w:val="22"/>
                <w:szCs w:val="22"/>
              </w:rPr>
              <w:t xml:space="preserve"> </w:t>
            </w:r>
            <w:r>
              <w:rPr>
                <w:spacing w:val="6"/>
                <w:sz w:val="22"/>
                <w:szCs w:val="22"/>
              </w:rPr>
              <w:t>事项</w:t>
            </w:r>
          </w:p>
        </w:tc>
        <w:tc>
          <w:tcPr>
            <w:tcW w:w="773" w:type="dxa"/>
            <w:vAlign w:val="top"/>
          </w:tcPr>
          <w:p>
            <w:pPr>
              <w:spacing w:line="289" w:lineRule="auto"/>
              <w:rPr>
                <w:rFonts w:ascii="Arial"/>
                <w:sz w:val="21"/>
              </w:rPr>
            </w:pPr>
          </w:p>
          <w:p>
            <w:pPr>
              <w:pStyle w:val="7"/>
              <w:spacing w:before="72" w:line="237" w:lineRule="auto"/>
              <w:ind w:left="100" w:right="105"/>
              <w:rPr>
                <w:sz w:val="22"/>
                <w:szCs w:val="22"/>
              </w:rPr>
            </w:pPr>
            <w:r>
              <w:rPr>
                <w:spacing w:val="6"/>
                <w:sz w:val="22"/>
                <w:szCs w:val="22"/>
              </w:rPr>
              <w:t>二级</w:t>
            </w:r>
            <w:r>
              <w:rPr>
                <w:sz w:val="22"/>
                <w:szCs w:val="22"/>
              </w:rPr>
              <w:t xml:space="preserve"> </w:t>
            </w:r>
            <w:r>
              <w:rPr>
                <w:spacing w:val="6"/>
                <w:sz w:val="22"/>
                <w:szCs w:val="22"/>
              </w:rPr>
              <w:t>事项</w:t>
            </w:r>
          </w:p>
        </w:tc>
        <w:tc>
          <w:tcPr>
            <w:tcW w:w="870" w:type="dxa"/>
            <w:vAlign w:val="top"/>
          </w:tcPr>
          <w:p>
            <w:pPr>
              <w:spacing w:line="288" w:lineRule="auto"/>
              <w:rPr>
                <w:rFonts w:ascii="Arial"/>
                <w:sz w:val="21"/>
              </w:rPr>
            </w:pPr>
          </w:p>
          <w:p>
            <w:pPr>
              <w:pStyle w:val="7"/>
              <w:spacing w:before="72" w:line="246" w:lineRule="auto"/>
              <w:ind w:left="101" w:right="104"/>
              <w:rPr>
                <w:sz w:val="22"/>
                <w:szCs w:val="22"/>
              </w:rPr>
            </w:pPr>
            <w:r>
              <w:rPr>
                <w:spacing w:val="6"/>
                <w:sz w:val="22"/>
                <w:szCs w:val="22"/>
              </w:rPr>
              <w:t>三级</w:t>
            </w:r>
            <w:r>
              <w:rPr>
                <w:sz w:val="22"/>
                <w:szCs w:val="22"/>
              </w:rPr>
              <w:t xml:space="preserve"> </w:t>
            </w:r>
            <w:r>
              <w:rPr>
                <w:spacing w:val="6"/>
                <w:sz w:val="22"/>
                <w:szCs w:val="22"/>
              </w:rPr>
              <w:t>事项</w:t>
            </w:r>
          </w:p>
        </w:tc>
        <w:tc>
          <w:tcPr>
            <w:tcW w:w="5535" w:type="dxa"/>
            <w:vMerge w:val="continue"/>
            <w:tcBorders>
              <w:top w:val="nil"/>
            </w:tcBorders>
            <w:vAlign w:val="top"/>
          </w:tcPr>
          <w:p>
            <w:pPr>
              <w:rPr>
                <w:rFonts w:ascii="Arial"/>
                <w:sz w:val="21"/>
              </w:rPr>
            </w:pPr>
          </w:p>
        </w:tc>
        <w:tc>
          <w:tcPr>
            <w:tcW w:w="1950" w:type="dxa"/>
            <w:vMerge w:val="continue"/>
            <w:tcBorders>
              <w:top w:val="nil"/>
            </w:tcBorders>
            <w:vAlign w:val="top"/>
          </w:tcPr>
          <w:p>
            <w:pPr>
              <w:rPr>
                <w:rFonts w:ascii="Arial"/>
                <w:sz w:val="21"/>
              </w:rPr>
            </w:pPr>
          </w:p>
        </w:tc>
        <w:tc>
          <w:tcPr>
            <w:tcW w:w="3990" w:type="dxa"/>
            <w:vMerge w:val="continue"/>
            <w:tcBorders>
              <w:top w:val="nil"/>
            </w:tcBorders>
            <w:vAlign w:val="top"/>
          </w:tcPr>
          <w:p>
            <w:pPr>
              <w:rPr>
                <w:rFonts w:ascii="Arial"/>
                <w:sz w:val="21"/>
              </w:rPr>
            </w:pPr>
          </w:p>
        </w:tc>
        <w:tc>
          <w:tcPr>
            <w:tcW w:w="1050"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885" w:type="dxa"/>
            <w:vMerge w:val="continue"/>
            <w:tcBorders>
              <w:top w:val="nil"/>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960" w:type="dxa"/>
            <w:vMerge w:val="continue"/>
            <w:tcBorders>
              <w:top w:val="nil"/>
            </w:tcBorders>
            <w:vAlign w:val="top"/>
          </w:tcPr>
          <w:p>
            <w:pPr>
              <w:rPr>
                <w:rFonts w:ascii="Arial"/>
                <w:sz w:val="21"/>
              </w:rPr>
            </w:pPr>
          </w:p>
        </w:tc>
        <w:tc>
          <w:tcPr>
            <w:tcW w:w="780" w:type="dxa"/>
            <w:vAlign w:val="center"/>
          </w:tcPr>
          <w:p>
            <w:pPr>
              <w:pStyle w:val="7"/>
              <w:spacing w:before="151" w:line="200" w:lineRule="auto"/>
              <w:ind w:left="170"/>
              <w:jc w:val="center"/>
              <w:rPr>
                <w:sz w:val="22"/>
                <w:szCs w:val="22"/>
              </w:rPr>
            </w:pPr>
            <w:r>
              <w:rPr>
                <w:sz w:val="22"/>
                <w:szCs w:val="22"/>
              </w:rPr>
              <w:t>全</w:t>
            </w:r>
            <w:r>
              <w:rPr>
                <w:spacing w:val="7"/>
                <w:sz w:val="22"/>
                <w:szCs w:val="22"/>
              </w:rPr>
              <w:t xml:space="preserve"> </w:t>
            </w:r>
            <w:r>
              <w:rPr>
                <w:sz w:val="22"/>
                <w:szCs w:val="22"/>
              </w:rPr>
              <w:t>社</w:t>
            </w:r>
            <w:r>
              <w:rPr>
                <w:spacing w:val="7"/>
                <w:sz w:val="22"/>
                <w:szCs w:val="22"/>
              </w:rPr>
              <w:t xml:space="preserve"> </w:t>
            </w:r>
            <w:r>
              <w:rPr>
                <w:sz w:val="22"/>
                <w:szCs w:val="22"/>
              </w:rPr>
              <w:t>会</w:t>
            </w:r>
          </w:p>
        </w:tc>
        <w:tc>
          <w:tcPr>
            <w:tcW w:w="735" w:type="dxa"/>
            <w:vAlign w:val="center"/>
          </w:tcPr>
          <w:p>
            <w:pPr>
              <w:pStyle w:val="7"/>
              <w:spacing w:before="168" w:line="202" w:lineRule="auto"/>
              <w:jc w:val="center"/>
              <w:rPr>
                <w:sz w:val="22"/>
                <w:szCs w:val="22"/>
              </w:rPr>
            </w:pPr>
            <w:r>
              <w:rPr>
                <w:spacing w:val="-6"/>
                <w:sz w:val="22"/>
                <w:szCs w:val="22"/>
              </w:rPr>
              <w:t>特</w:t>
            </w:r>
            <w:r>
              <w:rPr>
                <w:spacing w:val="21"/>
                <w:sz w:val="22"/>
                <w:szCs w:val="22"/>
              </w:rPr>
              <w:t xml:space="preserve"> </w:t>
            </w:r>
            <w:r>
              <w:rPr>
                <w:spacing w:val="-6"/>
                <w:sz w:val="22"/>
                <w:szCs w:val="22"/>
              </w:rPr>
              <w:t>定</w:t>
            </w:r>
            <w:r>
              <w:rPr>
                <w:spacing w:val="19"/>
                <w:sz w:val="22"/>
                <w:szCs w:val="22"/>
              </w:rPr>
              <w:t xml:space="preserve"> </w:t>
            </w:r>
            <w:r>
              <w:rPr>
                <w:spacing w:val="-6"/>
                <w:sz w:val="22"/>
                <w:szCs w:val="22"/>
              </w:rPr>
              <w:t>群</w:t>
            </w:r>
            <w:r>
              <w:rPr>
                <w:spacing w:val="18"/>
                <w:sz w:val="22"/>
                <w:szCs w:val="22"/>
              </w:rPr>
              <w:t xml:space="preserve"> </w:t>
            </w:r>
            <w:r>
              <w:rPr>
                <w:spacing w:val="-6"/>
                <w:sz w:val="22"/>
                <w:szCs w:val="22"/>
              </w:rPr>
              <w:t>体</w:t>
            </w:r>
          </w:p>
        </w:tc>
        <w:tc>
          <w:tcPr>
            <w:tcW w:w="585" w:type="dxa"/>
            <w:vMerge w:val="continue"/>
            <w:tcBorders>
              <w:top w:val="nil"/>
            </w:tcBorders>
            <w:textDirection w:val="tbRlV"/>
            <w:vAlign w:val="top"/>
          </w:tcPr>
          <w:p>
            <w:pPr>
              <w:rPr>
                <w:rFonts w:ascii="Arial"/>
                <w:sz w:val="21"/>
              </w:rPr>
            </w:pPr>
          </w:p>
        </w:tc>
        <w:tc>
          <w:tcPr>
            <w:tcW w:w="1020"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46" w:type="dxa"/>
            <w:vMerge w:val="restart"/>
            <w:tcBorders>
              <w:bottom w:val="nil"/>
            </w:tcBorders>
            <w:vAlign w:val="center"/>
          </w:tcPr>
          <w:p>
            <w:pPr>
              <w:jc w:val="center"/>
              <w:rPr>
                <w:rFonts w:hint="default" w:ascii="Arial" w:eastAsia="宋体"/>
                <w:sz w:val="21"/>
                <w:lang w:val="en-US" w:eastAsia="zh-CN"/>
              </w:rPr>
            </w:pPr>
            <w:r>
              <w:rPr>
                <w:rFonts w:hint="eastAsia" w:eastAsia="宋体"/>
                <w:sz w:val="21"/>
                <w:lang w:val="en-US" w:eastAsia="zh-CN"/>
              </w:rPr>
              <w:t>法定主动公开内容</w:t>
            </w:r>
          </w:p>
        </w:tc>
        <w:tc>
          <w:tcPr>
            <w:tcW w:w="773" w:type="dxa"/>
            <w:vMerge w:val="restart"/>
            <w:vAlign w:val="center"/>
          </w:tcPr>
          <w:p>
            <w:pPr>
              <w:jc w:val="center"/>
              <w:rPr>
                <w:rFonts w:hint="default" w:ascii="Arial" w:eastAsia="宋体"/>
                <w:sz w:val="21"/>
                <w:lang w:val="en-US" w:eastAsia="zh-CN"/>
              </w:rPr>
            </w:pPr>
            <w:r>
              <w:rPr>
                <w:rFonts w:hint="eastAsia" w:eastAsia="宋体"/>
                <w:sz w:val="21"/>
                <w:lang w:val="en-US" w:eastAsia="zh-CN"/>
              </w:rPr>
              <w:t>组织机构</w:t>
            </w:r>
          </w:p>
        </w:tc>
        <w:tc>
          <w:tcPr>
            <w:tcW w:w="870" w:type="dxa"/>
            <w:vAlign w:val="center"/>
          </w:tcPr>
          <w:p>
            <w:pPr>
              <w:bidi w:val="0"/>
              <w:jc w:val="center"/>
              <w:rPr>
                <w:rFonts w:ascii="Arial" w:hAnsi="Arial" w:eastAsia="Arial" w:cs="Arial"/>
                <w:snapToGrid w:val="0"/>
                <w:color w:val="000000"/>
                <w:kern w:val="0"/>
                <w:sz w:val="21"/>
                <w:szCs w:val="21"/>
                <w:lang w:val="en-US" w:eastAsia="en-US" w:bidi="ar-SA"/>
              </w:rPr>
            </w:pPr>
            <w:r>
              <w:rPr>
                <w:rFonts w:hint="eastAsia" w:ascii="Arial" w:hAnsi="Arial" w:eastAsia="Arial" w:cs="Arial"/>
                <w:snapToGrid w:val="0"/>
                <w:color w:val="000000"/>
                <w:kern w:val="0"/>
                <w:sz w:val="21"/>
                <w:szCs w:val="21"/>
                <w:lang w:val="en-US" w:eastAsia="en-US" w:bidi="ar-SA"/>
              </w:rPr>
              <w:t>机构职能</w:t>
            </w:r>
          </w:p>
        </w:tc>
        <w:tc>
          <w:tcPr>
            <w:tcW w:w="5535" w:type="dxa"/>
            <w:vAlign w:val="center"/>
          </w:tcPr>
          <w:p>
            <w:pPr>
              <w:jc w:val="both"/>
              <w:rPr>
                <w:rFonts w:ascii="Arial"/>
                <w:sz w:val="21"/>
              </w:rPr>
            </w:pPr>
            <w:r>
              <w:rPr>
                <w:rFonts w:hint="eastAsia" w:eastAsia="宋体"/>
                <w:sz w:val="20"/>
                <w:szCs w:val="20"/>
                <w:lang w:val="en-US" w:eastAsia="zh-CN"/>
              </w:rPr>
              <w:t>根</w:t>
            </w:r>
            <w:r>
              <w:rPr>
                <w:rFonts w:hint="eastAsia" w:ascii="Arial"/>
                <w:sz w:val="20"/>
                <w:szCs w:val="20"/>
              </w:rPr>
              <w:t>据职能职责调整情况确定的本部门最新机构职</w:t>
            </w:r>
            <w:r>
              <w:rPr>
                <w:rFonts w:hint="eastAsia" w:ascii="Arial"/>
                <w:sz w:val="21"/>
              </w:rPr>
              <w:t>能</w:t>
            </w:r>
          </w:p>
        </w:tc>
        <w:tc>
          <w:tcPr>
            <w:tcW w:w="1950" w:type="dxa"/>
            <w:vMerge w:val="restart"/>
            <w:vAlign w:val="center"/>
          </w:tcPr>
          <w:p>
            <w:pPr>
              <w:bidi w:val="0"/>
              <w:ind w:firstLine="463" w:firstLineChars="0"/>
              <w:jc w:val="center"/>
              <w:rPr>
                <w:lang w:val="en-US" w:eastAsia="en-US"/>
              </w:rPr>
            </w:pPr>
            <w:r>
              <w:rPr>
                <w:rFonts w:hint="eastAsia"/>
                <w:lang w:val="en-US" w:eastAsia="en-US"/>
              </w:rPr>
              <w:t>《中华人民共和国政府信息公开条例》</w:t>
            </w:r>
          </w:p>
        </w:tc>
        <w:tc>
          <w:tcPr>
            <w:tcW w:w="3990" w:type="dxa"/>
            <w:vMerge w:val="restart"/>
            <w:vAlign w:val="center"/>
          </w:tcPr>
          <w:p>
            <w:pPr>
              <w:jc w:val="center"/>
              <w:rPr>
                <w:rFonts w:ascii="Arial"/>
                <w:sz w:val="21"/>
              </w:rPr>
            </w:pPr>
            <w:r>
              <w:rPr>
                <w:rFonts w:hint="eastAsia" w:ascii="Arial"/>
                <w:sz w:val="21"/>
              </w:rPr>
              <w:t>第二十条行政机关应当依照本条例第十九条的规定，主动公开本行政机关的下列政府信息：（二）机关职能、机构设置、办公地址、办公时间、联系方式、负责人姓名；</w:t>
            </w:r>
          </w:p>
        </w:tc>
        <w:tc>
          <w:tcPr>
            <w:tcW w:w="1050" w:type="dxa"/>
            <w:vMerge w:val="restart"/>
            <w:vAlign w:val="center"/>
          </w:tcPr>
          <w:p>
            <w:pPr>
              <w:jc w:val="center"/>
              <w:rPr>
                <w:rFonts w:ascii="Arial"/>
                <w:sz w:val="21"/>
              </w:rPr>
            </w:pPr>
            <w:r>
              <w:rPr>
                <w:rFonts w:hint="eastAsia" w:ascii="Arial"/>
                <w:sz w:val="21"/>
              </w:rPr>
              <w:t>行政法规</w:t>
            </w:r>
          </w:p>
        </w:tc>
        <w:tc>
          <w:tcPr>
            <w:tcW w:w="735" w:type="dxa"/>
            <w:vMerge w:val="restart"/>
            <w:vAlign w:val="center"/>
          </w:tcPr>
          <w:p>
            <w:pPr>
              <w:jc w:val="center"/>
              <w:rPr>
                <w:rFonts w:hint="eastAsia" w:ascii="Arial"/>
                <w:sz w:val="21"/>
              </w:rPr>
            </w:pPr>
            <w:r>
              <w:rPr>
                <w:rFonts w:hint="eastAsia" w:ascii="Arial"/>
                <w:sz w:val="21"/>
              </w:rPr>
              <w:t>长期公开</w:t>
            </w:r>
          </w:p>
          <w:p>
            <w:pPr>
              <w:jc w:val="center"/>
              <w:rPr>
                <w:rFonts w:ascii="Arial"/>
                <w:sz w:val="21"/>
              </w:rPr>
            </w:pPr>
            <w:r>
              <w:rPr>
                <w:rFonts w:hint="eastAsia" w:ascii="Arial"/>
                <w:sz w:val="21"/>
              </w:rPr>
              <w:t>（动态更新）</w:t>
            </w:r>
          </w:p>
        </w:tc>
        <w:tc>
          <w:tcPr>
            <w:tcW w:w="885" w:type="dxa"/>
            <w:vMerge w:val="restart"/>
            <w:vAlign w:val="center"/>
          </w:tcPr>
          <w:p>
            <w:pPr>
              <w:jc w:val="center"/>
              <w:rPr>
                <w:rFonts w:ascii="Arial"/>
                <w:sz w:val="21"/>
              </w:rPr>
            </w:pPr>
            <w:r>
              <w:rPr>
                <w:rFonts w:hint="eastAsia" w:eastAsia="宋体"/>
                <w:sz w:val="21"/>
                <w:lang w:val="en-US" w:eastAsia="zh-CN"/>
              </w:rPr>
              <w:t>昆区</w:t>
            </w:r>
            <w:r>
              <w:rPr>
                <w:rFonts w:hint="eastAsia" w:ascii="Arial"/>
                <w:sz w:val="21"/>
              </w:rPr>
              <w:t>财政局</w:t>
            </w:r>
          </w:p>
        </w:tc>
        <w:tc>
          <w:tcPr>
            <w:tcW w:w="1155" w:type="dxa"/>
            <w:vMerge w:val="restart"/>
            <w:vAlign w:val="center"/>
          </w:tcPr>
          <w:p>
            <w:pPr>
              <w:pStyle w:val="7"/>
              <w:spacing w:before="39" w:line="220" w:lineRule="auto"/>
              <w:ind w:left="155"/>
              <w:rPr>
                <w:rFonts w:hint="eastAsia" w:ascii="Arial" w:eastAsia="宋体"/>
                <w:sz w:val="21"/>
                <w:lang w:eastAsia="zh-CN"/>
              </w:rPr>
            </w:pPr>
            <w:r>
              <w:rPr>
                <w:spacing w:val="3"/>
                <w:sz w:val="22"/>
                <w:szCs w:val="22"/>
              </w:rPr>
              <w:t>法定公</w:t>
            </w:r>
            <w:r>
              <w:rPr>
                <w:spacing w:val="9"/>
                <w:sz w:val="22"/>
                <w:szCs w:val="22"/>
              </w:rPr>
              <w:t>开</w:t>
            </w:r>
          </w:p>
        </w:tc>
        <w:tc>
          <w:tcPr>
            <w:tcW w:w="960" w:type="dxa"/>
            <w:vMerge w:val="restart"/>
            <w:vAlign w:val="center"/>
          </w:tcPr>
          <w:p>
            <w:pPr>
              <w:jc w:val="center"/>
              <w:rPr>
                <w:rFonts w:ascii="Arial"/>
                <w:sz w:val="21"/>
              </w:rPr>
            </w:pPr>
            <w:r>
              <w:rPr>
                <w:rFonts w:hint="eastAsia" w:eastAsia="宋体"/>
                <w:sz w:val="21"/>
                <w:lang w:val="en-US" w:eastAsia="zh-CN"/>
              </w:rPr>
              <w:t>昆都仑区</w:t>
            </w:r>
            <w:r>
              <w:rPr>
                <w:rFonts w:hint="eastAsia" w:ascii="Arial"/>
                <w:sz w:val="21"/>
              </w:rPr>
              <w:t>门户网站</w:t>
            </w:r>
          </w:p>
        </w:tc>
        <w:tc>
          <w:tcPr>
            <w:tcW w:w="780" w:type="dxa"/>
            <w:vMerge w:val="restart"/>
            <w:vAlign w:val="center"/>
          </w:tcPr>
          <w:p>
            <w:pPr>
              <w:jc w:val="center"/>
              <w:rPr>
                <w:rFonts w:ascii="Arial"/>
                <w:sz w:val="21"/>
              </w:rPr>
            </w:pPr>
            <w:r>
              <w:rPr>
                <w:rFonts w:hint="eastAsia" w:ascii="Arial"/>
                <w:sz w:val="21"/>
              </w:rPr>
              <w:t>全社会</w:t>
            </w:r>
          </w:p>
        </w:tc>
        <w:tc>
          <w:tcPr>
            <w:tcW w:w="735" w:type="dxa"/>
            <w:vMerge w:val="restart"/>
            <w:vAlign w:val="center"/>
          </w:tcPr>
          <w:p>
            <w:pPr>
              <w:jc w:val="center"/>
              <w:rPr>
                <w:rFonts w:ascii="Arial"/>
                <w:sz w:val="21"/>
              </w:rPr>
            </w:pPr>
          </w:p>
        </w:tc>
        <w:tc>
          <w:tcPr>
            <w:tcW w:w="585" w:type="dxa"/>
            <w:vMerge w:val="restart"/>
            <w:vAlign w:val="center"/>
          </w:tcPr>
          <w:p>
            <w:pPr>
              <w:jc w:val="center"/>
              <w:rPr>
                <w:rFonts w:hint="default" w:ascii="Arial" w:eastAsia="宋体"/>
                <w:sz w:val="21"/>
                <w:lang w:val="en-US" w:eastAsia="zh-CN"/>
              </w:rPr>
            </w:pPr>
            <w:r>
              <w:rPr>
                <w:rFonts w:hint="eastAsia" w:eastAsia="宋体"/>
                <w:sz w:val="21"/>
                <w:lang w:val="en-US" w:eastAsia="zh-CN"/>
              </w:rPr>
              <w:t>办公室</w:t>
            </w:r>
          </w:p>
        </w:tc>
        <w:tc>
          <w:tcPr>
            <w:tcW w:w="1020" w:type="dxa"/>
            <w:vMerge w:val="restart"/>
            <w:vAlign w:val="center"/>
          </w:tcPr>
          <w:p>
            <w:pPr>
              <w:jc w:val="center"/>
              <w:rPr>
                <w:rFonts w:ascii="Arial"/>
                <w:sz w:val="21"/>
              </w:rPr>
            </w:pPr>
            <w:r>
              <w:rPr>
                <w:rFonts w:hint="eastAsia" w:ascii="Arial"/>
                <w:sz w:val="21"/>
              </w:rPr>
              <w:t>主动公开本行政机关的政府信息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846" w:type="dxa"/>
            <w:vMerge w:val="continue"/>
            <w:tcBorders>
              <w:top w:val="nil"/>
              <w:bottom w:val="nil"/>
            </w:tcBorders>
            <w:vAlign w:val="top"/>
          </w:tcPr>
          <w:p>
            <w:pPr>
              <w:jc w:val="center"/>
              <w:rPr>
                <w:rFonts w:ascii="Arial"/>
                <w:sz w:val="21"/>
              </w:rPr>
            </w:pPr>
          </w:p>
        </w:tc>
        <w:tc>
          <w:tcPr>
            <w:tcW w:w="773" w:type="dxa"/>
            <w:vMerge w:val="continue"/>
            <w:vAlign w:val="center"/>
          </w:tcPr>
          <w:p>
            <w:pPr>
              <w:jc w:val="center"/>
              <w:rPr>
                <w:rFonts w:ascii="Arial"/>
                <w:sz w:val="21"/>
              </w:rPr>
            </w:pPr>
          </w:p>
        </w:tc>
        <w:tc>
          <w:tcPr>
            <w:tcW w:w="870" w:type="dxa"/>
            <w:vAlign w:val="center"/>
          </w:tcPr>
          <w:p>
            <w:pPr>
              <w:jc w:val="center"/>
              <w:rPr>
                <w:rFonts w:ascii="Arial"/>
                <w:sz w:val="21"/>
              </w:rPr>
            </w:pPr>
            <w:r>
              <w:rPr>
                <w:rFonts w:hint="eastAsia" w:ascii="Arial"/>
                <w:sz w:val="21"/>
              </w:rPr>
              <w:t>内设科室</w:t>
            </w:r>
          </w:p>
        </w:tc>
        <w:tc>
          <w:tcPr>
            <w:tcW w:w="5535" w:type="dxa"/>
            <w:vAlign w:val="center"/>
          </w:tcPr>
          <w:p>
            <w:pPr>
              <w:jc w:val="both"/>
              <w:rPr>
                <w:rFonts w:ascii="Arial"/>
                <w:sz w:val="21"/>
              </w:rPr>
            </w:pPr>
            <w:r>
              <w:rPr>
                <w:rFonts w:hint="eastAsia" w:ascii="Arial"/>
                <w:sz w:val="21"/>
              </w:rPr>
              <w:t>科室名称、职责</w:t>
            </w:r>
          </w:p>
        </w:tc>
        <w:tc>
          <w:tcPr>
            <w:tcW w:w="1950" w:type="dxa"/>
            <w:vMerge w:val="continue"/>
            <w:vAlign w:val="top"/>
          </w:tcPr>
          <w:p>
            <w:pPr>
              <w:rPr>
                <w:rFonts w:ascii="Arial"/>
                <w:sz w:val="21"/>
              </w:rPr>
            </w:pPr>
          </w:p>
        </w:tc>
        <w:tc>
          <w:tcPr>
            <w:tcW w:w="3990" w:type="dxa"/>
            <w:vMerge w:val="continue"/>
            <w:vAlign w:val="top"/>
          </w:tcPr>
          <w:p>
            <w:pPr>
              <w:rPr>
                <w:rFonts w:ascii="Arial"/>
                <w:sz w:val="21"/>
              </w:rPr>
            </w:pPr>
          </w:p>
        </w:tc>
        <w:tc>
          <w:tcPr>
            <w:tcW w:w="1050" w:type="dxa"/>
            <w:vMerge w:val="continue"/>
            <w:vAlign w:val="top"/>
          </w:tcPr>
          <w:p>
            <w:pPr>
              <w:rPr>
                <w:rFonts w:ascii="Arial"/>
                <w:sz w:val="21"/>
              </w:rPr>
            </w:pPr>
          </w:p>
        </w:tc>
        <w:tc>
          <w:tcPr>
            <w:tcW w:w="735" w:type="dxa"/>
            <w:vMerge w:val="continue"/>
            <w:vAlign w:val="top"/>
          </w:tcPr>
          <w:p>
            <w:pPr>
              <w:rPr>
                <w:rFonts w:ascii="Arial"/>
                <w:sz w:val="21"/>
              </w:rPr>
            </w:pPr>
          </w:p>
        </w:tc>
        <w:tc>
          <w:tcPr>
            <w:tcW w:w="885" w:type="dxa"/>
            <w:vMerge w:val="continue"/>
            <w:vAlign w:val="top"/>
          </w:tcPr>
          <w:p>
            <w:pPr>
              <w:rPr>
                <w:rFonts w:ascii="Arial"/>
                <w:sz w:val="21"/>
              </w:rPr>
            </w:pPr>
          </w:p>
        </w:tc>
        <w:tc>
          <w:tcPr>
            <w:tcW w:w="1155" w:type="dxa"/>
            <w:vMerge w:val="continue"/>
            <w:vAlign w:val="top"/>
          </w:tcPr>
          <w:p>
            <w:pPr>
              <w:rPr>
                <w:rFonts w:ascii="Arial"/>
                <w:sz w:val="21"/>
              </w:rPr>
            </w:pPr>
          </w:p>
        </w:tc>
        <w:tc>
          <w:tcPr>
            <w:tcW w:w="960" w:type="dxa"/>
            <w:vMerge w:val="continue"/>
            <w:vAlign w:val="top"/>
          </w:tcPr>
          <w:p>
            <w:pPr>
              <w:rPr>
                <w:rFonts w:ascii="Arial"/>
                <w:sz w:val="21"/>
              </w:rPr>
            </w:pPr>
          </w:p>
        </w:tc>
        <w:tc>
          <w:tcPr>
            <w:tcW w:w="780" w:type="dxa"/>
            <w:vMerge w:val="continue"/>
            <w:vAlign w:val="top"/>
          </w:tcPr>
          <w:p>
            <w:pPr>
              <w:rPr>
                <w:rFonts w:ascii="Arial"/>
                <w:sz w:val="21"/>
              </w:rPr>
            </w:pPr>
          </w:p>
        </w:tc>
        <w:tc>
          <w:tcPr>
            <w:tcW w:w="735" w:type="dxa"/>
            <w:vMerge w:val="continue"/>
            <w:vAlign w:val="top"/>
          </w:tcPr>
          <w:p>
            <w:pPr>
              <w:rPr>
                <w:rFonts w:ascii="Arial"/>
                <w:sz w:val="21"/>
              </w:rPr>
            </w:pPr>
          </w:p>
        </w:tc>
        <w:tc>
          <w:tcPr>
            <w:tcW w:w="585" w:type="dxa"/>
            <w:vMerge w:val="continue"/>
            <w:vAlign w:val="top"/>
          </w:tcPr>
          <w:p>
            <w:pPr>
              <w:rPr>
                <w:rFonts w:ascii="Arial"/>
                <w:sz w:val="21"/>
              </w:rPr>
            </w:pPr>
          </w:p>
        </w:tc>
        <w:tc>
          <w:tcPr>
            <w:tcW w:w="1020" w:type="dxa"/>
            <w:vMerge w:val="continu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846" w:type="dxa"/>
            <w:vMerge w:val="continue"/>
            <w:tcBorders>
              <w:top w:val="nil"/>
              <w:bottom w:val="nil"/>
            </w:tcBorders>
            <w:vAlign w:val="top"/>
          </w:tcPr>
          <w:p>
            <w:pPr>
              <w:jc w:val="center"/>
              <w:rPr>
                <w:rFonts w:ascii="Arial"/>
                <w:sz w:val="21"/>
              </w:rPr>
            </w:pPr>
          </w:p>
        </w:tc>
        <w:tc>
          <w:tcPr>
            <w:tcW w:w="773" w:type="dxa"/>
            <w:vMerge w:val="continue"/>
            <w:vAlign w:val="center"/>
          </w:tcPr>
          <w:p>
            <w:pPr>
              <w:jc w:val="center"/>
              <w:rPr>
                <w:rFonts w:ascii="Arial"/>
                <w:sz w:val="21"/>
              </w:rPr>
            </w:pPr>
          </w:p>
        </w:tc>
        <w:tc>
          <w:tcPr>
            <w:tcW w:w="870" w:type="dxa"/>
            <w:vAlign w:val="center"/>
          </w:tcPr>
          <w:p>
            <w:pPr>
              <w:jc w:val="center"/>
              <w:rPr>
                <w:rFonts w:ascii="Arial"/>
                <w:sz w:val="21"/>
              </w:rPr>
            </w:pPr>
            <w:r>
              <w:rPr>
                <w:rFonts w:hint="eastAsia" w:ascii="Arial"/>
                <w:sz w:val="21"/>
              </w:rPr>
              <w:t>局属单位</w:t>
            </w:r>
          </w:p>
        </w:tc>
        <w:tc>
          <w:tcPr>
            <w:tcW w:w="5535" w:type="dxa"/>
            <w:vAlign w:val="center"/>
          </w:tcPr>
          <w:p>
            <w:pPr>
              <w:jc w:val="both"/>
              <w:rPr>
                <w:rFonts w:ascii="Arial"/>
                <w:sz w:val="21"/>
              </w:rPr>
            </w:pPr>
            <w:r>
              <w:rPr>
                <w:rFonts w:hint="eastAsia" w:ascii="Arial"/>
                <w:sz w:val="21"/>
              </w:rPr>
              <w:t>局属单位名称、职责</w:t>
            </w:r>
          </w:p>
        </w:tc>
        <w:tc>
          <w:tcPr>
            <w:tcW w:w="1950" w:type="dxa"/>
            <w:vMerge w:val="continue"/>
            <w:vAlign w:val="top"/>
          </w:tcPr>
          <w:p>
            <w:pPr>
              <w:rPr>
                <w:rFonts w:ascii="Arial"/>
                <w:sz w:val="21"/>
              </w:rPr>
            </w:pPr>
          </w:p>
        </w:tc>
        <w:tc>
          <w:tcPr>
            <w:tcW w:w="3990" w:type="dxa"/>
            <w:vMerge w:val="continue"/>
            <w:vAlign w:val="top"/>
          </w:tcPr>
          <w:p>
            <w:pPr>
              <w:rPr>
                <w:rFonts w:ascii="Arial"/>
                <w:sz w:val="21"/>
              </w:rPr>
            </w:pPr>
          </w:p>
        </w:tc>
        <w:tc>
          <w:tcPr>
            <w:tcW w:w="1050" w:type="dxa"/>
            <w:vMerge w:val="continue"/>
            <w:vAlign w:val="top"/>
          </w:tcPr>
          <w:p>
            <w:pPr>
              <w:rPr>
                <w:rFonts w:ascii="Arial"/>
                <w:sz w:val="21"/>
              </w:rPr>
            </w:pPr>
          </w:p>
        </w:tc>
        <w:tc>
          <w:tcPr>
            <w:tcW w:w="735" w:type="dxa"/>
            <w:vMerge w:val="continue"/>
            <w:vAlign w:val="top"/>
          </w:tcPr>
          <w:p>
            <w:pPr>
              <w:rPr>
                <w:rFonts w:ascii="Arial"/>
                <w:sz w:val="21"/>
              </w:rPr>
            </w:pPr>
          </w:p>
        </w:tc>
        <w:tc>
          <w:tcPr>
            <w:tcW w:w="885" w:type="dxa"/>
            <w:vMerge w:val="continue"/>
            <w:vAlign w:val="top"/>
          </w:tcPr>
          <w:p>
            <w:pPr>
              <w:rPr>
                <w:rFonts w:ascii="Arial"/>
                <w:sz w:val="21"/>
              </w:rPr>
            </w:pPr>
          </w:p>
        </w:tc>
        <w:tc>
          <w:tcPr>
            <w:tcW w:w="1155" w:type="dxa"/>
            <w:vMerge w:val="continue"/>
            <w:vAlign w:val="top"/>
          </w:tcPr>
          <w:p>
            <w:pPr>
              <w:rPr>
                <w:rFonts w:hint="default" w:ascii="Arial"/>
                <w:sz w:val="21"/>
                <w:lang w:val="en-US"/>
              </w:rPr>
            </w:pPr>
          </w:p>
        </w:tc>
        <w:tc>
          <w:tcPr>
            <w:tcW w:w="960" w:type="dxa"/>
            <w:vMerge w:val="continue"/>
            <w:vAlign w:val="top"/>
          </w:tcPr>
          <w:p>
            <w:pPr>
              <w:rPr>
                <w:rFonts w:ascii="Arial"/>
                <w:sz w:val="21"/>
              </w:rPr>
            </w:pPr>
          </w:p>
        </w:tc>
        <w:tc>
          <w:tcPr>
            <w:tcW w:w="780" w:type="dxa"/>
            <w:vMerge w:val="continue"/>
            <w:vAlign w:val="top"/>
          </w:tcPr>
          <w:p>
            <w:pPr>
              <w:rPr>
                <w:rFonts w:ascii="Arial"/>
                <w:sz w:val="21"/>
              </w:rPr>
            </w:pPr>
          </w:p>
        </w:tc>
        <w:tc>
          <w:tcPr>
            <w:tcW w:w="735" w:type="dxa"/>
            <w:vMerge w:val="continue"/>
            <w:vAlign w:val="top"/>
          </w:tcPr>
          <w:p>
            <w:pPr>
              <w:rPr>
                <w:rFonts w:ascii="Arial"/>
                <w:sz w:val="21"/>
              </w:rPr>
            </w:pPr>
          </w:p>
        </w:tc>
        <w:tc>
          <w:tcPr>
            <w:tcW w:w="585" w:type="dxa"/>
            <w:vMerge w:val="continue"/>
            <w:vAlign w:val="top"/>
          </w:tcPr>
          <w:p>
            <w:pPr>
              <w:rPr>
                <w:rFonts w:ascii="Arial"/>
                <w:sz w:val="21"/>
              </w:rPr>
            </w:pPr>
          </w:p>
        </w:tc>
        <w:tc>
          <w:tcPr>
            <w:tcW w:w="1020" w:type="dxa"/>
            <w:vMerge w:val="continu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2" w:hRule="atLeast"/>
        </w:trPr>
        <w:tc>
          <w:tcPr>
            <w:tcW w:w="846" w:type="dxa"/>
            <w:vAlign w:val="center"/>
          </w:tcPr>
          <w:p>
            <w:pPr>
              <w:jc w:val="center"/>
              <w:rPr>
                <w:rFonts w:ascii="Arial"/>
                <w:sz w:val="21"/>
              </w:rPr>
            </w:pPr>
            <w:r>
              <w:rPr>
                <w:rFonts w:hint="eastAsia" w:eastAsia="宋体"/>
                <w:sz w:val="21"/>
                <w:lang w:val="en-US" w:eastAsia="zh-CN"/>
              </w:rPr>
              <w:t>法定主动公开内容</w:t>
            </w:r>
          </w:p>
        </w:tc>
        <w:tc>
          <w:tcPr>
            <w:tcW w:w="773" w:type="dxa"/>
            <w:vAlign w:val="center"/>
          </w:tcPr>
          <w:p>
            <w:pPr>
              <w:jc w:val="center"/>
              <w:rPr>
                <w:rFonts w:hint="default" w:ascii="Arial" w:eastAsia="宋体"/>
                <w:sz w:val="21"/>
                <w:lang w:val="en-US" w:eastAsia="zh-CN"/>
              </w:rPr>
            </w:pPr>
            <w:r>
              <w:rPr>
                <w:rFonts w:hint="eastAsia" w:eastAsia="宋体"/>
                <w:sz w:val="21"/>
                <w:lang w:val="en-US" w:eastAsia="zh-CN"/>
              </w:rPr>
              <w:t>基础信息公开</w:t>
            </w:r>
          </w:p>
        </w:tc>
        <w:tc>
          <w:tcPr>
            <w:tcW w:w="870" w:type="dxa"/>
            <w:vAlign w:val="center"/>
          </w:tcPr>
          <w:p>
            <w:pPr>
              <w:jc w:val="center"/>
              <w:rPr>
                <w:rFonts w:hint="default" w:ascii="Arial" w:eastAsia="宋体"/>
                <w:sz w:val="21"/>
                <w:lang w:val="en-US" w:eastAsia="zh-CN"/>
              </w:rPr>
            </w:pPr>
            <w:r>
              <w:rPr>
                <w:rFonts w:hint="eastAsia" w:eastAsia="宋体"/>
                <w:sz w:val="21"/>
                <w:lang w:val="en-US" w:eastAsia="zh-CN"/>
              </w:rPr>
              <w:t>行政事业性收费</w:t>
            </w:r>
          </w:p>
        </w:tc>
        <w:tc>
          <w:tcPr>
            <w:tcW w:w="5535" w:type="dxa"/>
            <w:vAlign w:val="center"/>
          </w:tcPr>
          <w:p>
            <w:pPr>
              <w:jc w:val="center"/>
              <w:rPr>
                <w:rFonts w:ascii="Arial"/>
                <w:sz w:val="21"/>
              </w:rPr>
            </w:pPr>
            <w:r>
              <w:rPr>
                <w:rFonts w:hint="eastAsia" w:ascii="Arial"/>
                <w:sz w:val="21"/>
              </w:rPr>
              <w:t>部门、收费项目、收费标准、收费范围、收费依据、执收单位、资金管理方式、制定权限</w:t>
            </w:r>
          </w:p>
        </w:tc>
        <w:tc>
          <w:tcPr>
            <w:tcW w:w="1950" w:type="dxa"/>
            <w:vAlign w:val="center"/>
          </w:tcPr>
          <w:p>
            <w:pPr>
              <w:jc w:val="center"/>
              <w:rPr>
                <w:rFonts w:ascii="Arial"/>
                <w:sz w:val="21"/>
              </w:rPr>
            </w:pPr>
            <w:r>
              <w:rPr>
                <w:rFonts w:hint="eastAsia" w:ascii="Arial"/>
                <w:sz w:val="21"/>
              </w:rPr>
              <w:t>财政部关于印发《政府非税收入管理办法》的通知</w:t>
            </w:r>
          </w:p>
        </w:tc>
        <w:tc>
          <w:tcPr>
            <w:tcW w:w="3990" w:type="dxa"/>
            <w:vAlign w:val="center"/>
          </w:tcPr>
          <w:p>
            <w:pPr>
              <w:jc w:val="center"/>
              <w:rPr>
                <w:rFonts w:ascii="Arial"/>
                <w:sz w:val="21"/>
              </w:rPr>
            </w:pPr>
            <w:r>
              <w:rPr>
                <w:rFonts w:hint="eastAsia" w:ascii="Arial"/>
                <w:sz w:val="21"/>
              </w:rPr>
              <w:t>第三十六条 各级财政部门和执收单位应当通过政府网站和公共媒体等渠道，向社会公开非税收入项目名称、设立依据、征收方式和标准等，并加大预决算公开力度，提高非税收入透明度，接受公众监督。</w:t>
            </w:r>
          </w:p>
        </w:tc>
        <w:tc>
          <w:tcPr>
            <w:tcW w:w="1050" w:type="dxa"/>
            <w:vAlign w:val="center"/>
          </w:tcPr>
          <w:p>
            <w:pPr>
              <w:jc w:val="center"/>
              <w:rPr>
                <w:rFonts w:ascii="Arial"/>
                <w:sz w:val="21"/>
              </w:rPr>
            </w:pPr>
            <w:r>
              <w:rPr>
                <w:rFonts w:hint="eastAsia" w:ascii="Arial"/>
                <w:sz w:val="21"/>
              </w:rPr>
              <w:t>行政法规</w:t>
            </w:r>
          </w:p>
        </w:tc>
        <w:tc>
          <w:tcPr>
            <w:tcW w:w="735" w:type="dxa"/>
            <w:vAlign w:val="center"/>
          </w:tcPr>
          <w:p>
            <w:pPr>
              <w:jc w:val="center"/>
              <w:rPr>
                <w:rFonts w:ascii="Arial"/>
                <w:sz w:val="21"/>
              </w:rPr>
            </w:pPr>
            <w:r>
              <w:rPr>
                <w:rFonts w:hint="eastAsia" w:ascii="Arial"/>
                <w:sz w:val="21"/>
              </w:rPr>
              <w:t>持续公开</w:t>
            </w:r>
          </w:p>
        </w:tc>
        <w:tc>
          <w:tcPr>
            <w:tcW w:w="885" w:type="dxa"/>
            <w:shd w:val="clear" w:color="auto" w:fill="auto"/>
            <w:vAlign w:val="center"/>
          </w:tcPr>
          <w:p>
            <w:pPr>
              <w:jc w:val="center"/>
              <w:rPr>
                <w:rFonts w:ascii="Arial" w:hAnsi="Arial" w:eastAsia="Arial" w:cs="Arial"/>
                <w:snapToGrid w:val="0"/>
                <w:color w:val="000000"/>
                <w:kern w:val="0"/>
                <w:sz w:val="21"/>
                <w:szCs w:val="21"/>
                <w:lang w:val="en-US" w:eastAsia="en-US" w:bidi="ar-SA"/>
              </w:rPr>
            </w:pPr>
            <w:r>
              <w:rPr>
                <w:rFonts w:hint="eastAsia" w:eastAsia="宋体"/>
                <w:sz w:val="21"/>
                <w:lang w:val="en-US" w:eastAsia="zh-CN"/>
              </w:rPr>
              <w:t>昆区</w:t>
            </w:r>
            <w:r>
              <w:rPr>
                <w:rFonts w:hint="eastAsia" w:ascii="Arial"/>
                <w:sz w:val="21"/>
              </w:rPr>
              <w:t>财政局</w:t>
            </w:r>
          </w:p>
        </w:tc>
        <w:tc>
          <w:tcPr>
            <w:tcW w:w="1155" w:type="dxa"/>
            <w:shd w:val="clear" w:color="auto" w:fill="auto"/>
            <w:vAlign w:val="center"/>
          </w:tcPr>
          <w:p>
            <w:pPr>
              <w:jc w:val="center"/>
              <w:rPr>
                <w:rFonts w:hint="eastAsia" w:ascii="Arial" w:hAnsi="Arial" w:eastAsia="宋体" w:cs="Arial"/>
                <w:snapToGrid w:val="0"/>
                <w:color w:val="000000"/>
                <w:kern w:val="0"/>
                <w:sz w:val="21"/>
                <w:szCs w:val="21"/>
                <w:lang w:val="en-US" w:eastAsia="zh-CN" w:bidi="ar-SA"/>
              </w:rPr>
            </w:pPr>
            <w:r>
              <w:rPr>
                <w:rFonts w:hint="eastAsia" w:ascii="Arial" w:eastAsia="宋体"/>
                <w:sz w:val="21"/>
                <w:lang w:eastAsia="zh-CN"/>
              </w:rPr>
              <w:t>其他</w:t>
            </w:r>
          </w:p>
        </w:tc>
        <w:tc>
          <w:tcPr>
            <w:tcW w:w="960" w:type="dxa"/>
            <w:shd w:val="clear" w:color="auto" w:fill="auto"/>
            <w:vAlign w:val="center"/>
          </w:tcPr>
          <w:p>
            <w:pPr>
              <w:jc w:val="center"/>
              <w:rPr>
                <w:rFonts w:ascii="Arial" w:hAnsi="Arial" w:eastAsia="Arial" w:cs="Arial"/>
                <w:snapToGrid w:val="0"/>
                <w:color w:val="000000"/>
                <w:kern w:val="0"/>
                <w:sz w:val="21"/>
                <w:szCs w:val="21"/>
                <w:lang w:val="en-US" w:eastAsia="en-US" w:bidi="ar-SA"/>
              </w:rPr>
            </w:pPr>
            <w:r>
              <w:rPr>
                <w:rFonts w:hint="eastAsia" w:eastAsia="宋体"/>
                <w:sz w:val="21"/>
                <w:lang w:val="en-US" w:eastAsia="zh-CN"/>
              </w:rPr>
              <w:t>昆都仑区</w:t>
            </w:r>
            <w:r>
              <w:rPr>
                <w:rFonts w:hint="eastAsia" w:ascii="Arial"/>
                <w:sz w:val="21"/>
              </w:rPr>
              <w:t>门户网站</w:t>
            </w:r>
          </w:p>
        </w:tc>
        <w:tc>
          <w:tcPr>
            <w:tcW w:w="780" w:type="dxa"/>
            <w:shd w:val="clear" w:color="auto" w:fill="auto"/>
            <w:vAlign w:val="center"/>
          </w:tcPr>
          <w:p>
            <w:pPr>
              <w:jc w:val="center"/>
              <w:rPr>
                <w:rFonts w:ascii="Arial" w:hAnsi="Arial" w:eastAsia="Arial" w:cs="Arial"/>
                <w:snapToGrid w:val="0"/>
                <w:color w:val="000000"/>
                <w:kern w:val="0"/>
                <w:sz w:val="21"/>
                <w:szCs w:val="21"/>
                <w:lang w:val="en-US" w:eastAsia="en-US" w:bidi="ar-SA"/>
              </w:rPr>
            </w:pPr>
            <w:r>
              <w:rPr>
                <w:rFonts w:hint="eastAsia" w:ascii="Arial"/>
                <w:sz w:val="21"/>
              </w:rPr>
              <w:t>全社会</w:t>
            </w:r>
          </w:p>
        </w:tc>
        <w:tc>
          <w:tcPr>
            <w:tcW w:w="735" w:type="dxa"/>
            <w:vAlign w:val="center"/>
          </w:tcPr>
          <w:p>
            <w:pPr>
              <w:jc w:val="center"/>
              <w:rPr>
                <w:rFonts w:ascii="Arial"/>
                <w:sz w:val="21"/>
              </w:rPr>
            </w:pPr>
          </w:p>
        </w:tc>
        <w:tc>
          <w:tcPr>
            <w:tcW w:w="585" w:type="dxa"/>
            <w:vAlign w:val="center"/>
          </w:tcPr>
          <w:p>
            <w:pPr>
              <w:jc w:val="center"/>
              <w:rPr>
                <w:rFonts w:hint="default" w:ascii="Arial" w:eastAsia="宋体"/>
                <w:sz w:val="21"/>
                <w:lang w:val="en-US" w:eastAsia="zh-CN"/>
              </w:rPr>
            </w:pPr>
            <w:r>
              <w:rPr>
                <w:rFonts w:hint="eastAsia" w:eastAsia="宋体"/>
                <w:sz w:val="21"/>
                <w:lang w:val="en-US" w:eastAsia="zh-CN"/>
              </w:rPr>
              <w:t>非税股</w:t>
            </w:r>
          </w:p>
        </w:tc>
        <w:tc>
          <w:tcPr>
            <w:tcW w:w="1020" w:type="dxa"/>
            <w:vAlign w:val="center"/>
          </w:tcPr>
          <w:p>
            <w:pPr>
              <w:jc w:val="center"/>
              <w:rPr>
                <w:rFonts w:ascii="Arial"/>
                <w:sz w:val="21"/>
              </w:rPr>
            </w:pPr>
            <w:r>
              <w:rPr>
                <w:rFonts w:hint="eastAsia" w:ascii="Arial"/>
                <w:sz w:val="21"/>
              </w:rPr>
              <w:t>主动公开本行政机关的政府信息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46" w:type="dxa"/>
            <w:vAlign w:val="center"/>
          </w:tcPr>
          <w:p>
            <w:pPr>
              <w:jc w:val="center"/>
              <w:rPr>
                <w:rFonts w:hint="default" w:ascii="Arial" w:eastAsia="宋体"/>
                <w:sz w:val="21"/>
                <w:lang w:val="en-US" w:eastAsia="zh-CN"/>
              </w:rPr>
            </w:pPr>
            <w:r>
              <w:rPr>
                <w:rFonts w:hint="eastAsia" w:ascii="Arial"/>
                <w:sz w:val="21"/>
              </w:rPr>
              <w:t>政府信息公开</w:t>
            </w:r>
          </w:p>
        </w:tc>
        <w:tc>
          <w:tcPr>
            <w:tcW w:w="773" w:type="dxa"/>
            <w:vAlign w:val="center"/>
          </w:tcPr>
          <w:p>
            <w:pPr>
              <w:jc w:val="center"/>
              <w:rPr>
                <w:rFonts w:ascii="Arial"/>
                <w:sz w:val="21"/>
              </w:rPr>
            </w:pPr>
            <w:r>
              <w:rPr>
                <w:rFonts w:hint="eastAsia" w:ascii="Arial"/>
                <w:sz w:val="21"/>
              </w:rPr>
              <w:t>政府信息公开</w:t>
            </w:r>
            <w:r>
              <w:rPr>
                <w:rFonts w:hint="eastAsia" w:eastAsia="宋体"/>
                <w:sz w:val="21"/>
                <w:lang w:val="en-US" w:eastAsia="zh-CN"/>
              </w:rPr>
              <w:t>年报</w:t>
            </w:r>
          </w:p>
        </w:tc>
        <w:tc>
          <w:tcPr>
            <w:tcW w:w="870" w:type="dxa"/>
            <w:vAlign w:val="center"/>
          </w:tcPr>
          <w:p>
            <w:pPr>
              <w:jc w:val="center"/>
              <w:rPr>
                <w:rFonts w:ascii="Arial"/>
                <w:sz w:val="21"/>
              </w:rPr>
            </w:pPr>
          </w:p>
        </w:tc>
        <w:tc>
          <w:tcPr>
            <w:tcW w:w="5535" w:type="dxa"/>
            <w:vAlign w:val="center"/>
          </w:tcPr>
          <w:p>
            <w:pPr>
              <w:jc w:val="center"/>
              <w:rPr>
                <w:rFonts w:ascii="Arial"/>
                <w:sz w:val="21"/>
              </w:rPr>
            </w:pPr>
            <w:r>
              <w:rPr>
                <w:rFonts w:hint="eastAsia" w:eastAsia="宋体"/>
                <w:sz w:val="21"/>
                <w:lang w:val="en-US" w:eastAsia="zh-CN"/>
              </w:rPr>
              <w:t>昆区</w:t>
            </w:r>
            <w:r>
              <w:rPr>
                <w:rFonts w:hint="eastAsia" w:ascii="Arial"/>
                <w:sz w:val="21"/>
              </w:rPr>
              <w:t>财政局年度政府信息公开工作年度报告</w:t>
            </w:r>
          </w:p>
        </w:tc>
        <w:tc>
          <w:tcPr>
            <w:tcW w:w="1950" w:type="dxa"/>
            <w:vAlign w:val="center"/>
          </w:tcPr>
          <w:p>
            <w:pPr>
              <w:jc w:val="center"/>
              <w:rPr>
                <w:rFonts w:ascii="Arial"/>
                <w:sz w:val="21"/>
              </w:rPr>
            </w:pPr>
            <w:r>
              <w:rPr>
                <w:rFonts w:hint="eastAsia" w:ascii="Arial"/>
                <w:sz w:val="21"/>
              </w:rPr>
              <w:t>《中华人民共和国政府信息公开条例》</w:t>
            </w:r>
          </w:p>
        </w:tc>
        <w:tc>
          <w:tcPr>
            <w:tcW w:w="3990" w:type="dxa"/>
            <w:vAlign w:val="center"/>
          </w:tcPr>
          <w:p>
            <w:pPr>
              <w:jc w:val="center"/>
              <w:rPr>
                <w:rFonts w:ascii="Arial"/>
                <w:sz w:val="21"/>
              </w:rPr>
            </w:pPr>
            <w:r>
              <w:rPr>
                <w:rFonts w:hint="eastAsia" w:ascii="Arial"/>
                <w:sz w:val="21"/>
              </w:rPr>
              <w:t>第五十条 政府信息公开工作年度报告应当包括下列内容：全国政府信息公开工作主管部门应当公布政府信息公开工作年度报告统一格式，并适时更新。</w:t>
            </w:r>
          </w:p>
        </w:tc>
        <w:tc>
          <w:tcPr>
            <w:tcW w:w="1050" w:type="dxa"/>
            <w:vAlign w:val="center"/>
          </w:tcPr>
          <w:p>
            <w:pPr>
              <w:jc w:val="center"/>
              <w:rPr>
                <w:rFonts w:ascii="Arial"/>
                <w:sz w:val="21"/>
              </w:rPr>
            </w:pPr>
            <w:r>
              <w:rPr>
                <w:rFonts w:hint="eastAsia" w:ascii="Arial"/>
                <w:sz w:val="21"/>
              </w:rPr>
              <w:t>行政法规</w:t>
            </w:r>
          </w:p>
        </w:tc>
        <w:tc>
          <w:tcPr>
            <w:tcW w:w="735" w:type="dxa"/>
            <w:vAlign w:val="center"/>
          </w:tcPr>
          <w:p>
            <w:pPr>
              <w:jc w:val="center"/>
              <w:rPr>
                <w:rFonts w:ascii="Arial"/>
                <w:sz w:val="21"/>
              </w:rPr>
            </w:pPr>
            <w:r>
              <w:rPr>
                <w:rFonts w:hint="eastAsia" w:ascii="Arial"/>
                <w:sz w:val="21"/>
              </w:rPr>
              <w:t>每年1月31日前</w:t>
            </w:r>
          </w:p>
        </w:tc>
        <w:tc>
          <w:tcPr>
            <w:tcW w:w="885" w:type="dxa"/>
            <w:shd w:val="clear" w:color="auto" w:fill="auto"/>
            <w:vAlign w:val="center"/>
          </w:tcPr>
          <w:p>
            <w:pPr>
              <w:jc w:val="center"/>
              <w:rPr>
                <w:rFonts w:ascii="Arial" w:hAnsi="Arial" w:eastAsia="Arial" w:cs="Arial"/>
                <w:snapToGrid w:val="0"/>
                <w:color w:val="000000"/>
                <w:kern w:val="0"/>
                <w:sz w:val="21"/>
                <w:szCs w:val="21"/>
                <w:lang w:val="en-US" w:eastAsia="en-US" w:bidi="ar-SA"/>
              </w:rPr>
            </w:pPr>
            <w:r>
              <w:rPr>
                <w:rFonts w:hint="eastAsia" w:eastAsia="宋体"/>
                <w:sz w:val="21"/>
                <w:lang w:val="en-US" w:eastAsia="zh-CN"/>
              </w:rPr>
              <w:t>昆区</w:t>
            </w:r>
            <w:r>
              <w:rPr>
                <w:rFonts w:hint="eastAsia" w:ascii="Arial"/>
                <w:sz w:val="21"/>
              </w:rPr>
              <w:t>财政局</w:t>
            </w:r>
          </w:p>
        </w:tc>
        <w:tc>
          <w:tcPr>
            <w:tcW w:w="1155" w:type="dxa"/>
            <w:shd w:val="clear" w:color="auto" w:fill="auto"/>
            <w:vAlign w:val="center"/>
          </w:tcPr>
          <w:p>
            <w:pPr>
              <w:jc w:val="center"/>
              <w:rPr>
                <w:rFonts w:hint="eastAsia" w:ascii="Arial" w:hAnsi="Arial" w:eastAsia="宋体" w:cs="Arial"/>
                <w:snapToGrid w:val="0"/>
                <w:color w:val="000000"/>
                <w:kern w:val="0"/>
                <w:sz w:val="21"/>
                <w:szCs w:val="21"/>
                <w:lang w:val="en-US" w:eastAsia="zh-CN" w:bidi="ar-SA"/>
              </w:rPr>
            </w:pPr>
            <w:r>
              <w:rPr>
                <w:rFonts w:hint="eastAsia" w:ascii="Arial" w:eastAsia="宋体"/>
                <w:sz w:val="21"/>
                <w:lang w:eastAsia="zh-CN"/>
              </w:rPr>
              <w:t>法定公开</w:t>
            </w:r>
          </w:p>
        </w:tc>
        <w:tc>
          <w:tcPr>
            <w:tcW w:w="960" w:type="dxa"/>
            <w:shd w:val="clear" w:color="auto" w:fill="auto"/>
            <w:vAlign w:val="center"/>
          </w:tcPr>
          <w:p>
            <w:pPr>
              <w:jc w:val="center"/>
              <w:rPr>
                <w:rFonts w:ascii="Arial" w:hAnsi="Arial" w:eastAsia="Arial" w:cs="Arial"/>
                <w:snapToGrid w:val="0"/>
                <w:color w:val="000000"/>
                <w:kern w:val="0"/>
                <w:sz w:val="21"/>
                <w:szCs w:val="21"/>
                <w:lang w:val="en-US" w:eastAsia="en-US" w:bidi="ar-SA"/>
              </w:rPr>
            </w:pPr>
            <w:r>
              <w:rPr>
                <w:rFonts w:hint="eastAsia" w:eastAsia="宋体"/>
                <w:sz w:val="21"/>
                <w:lang w:val="en-US" w:eastAsia="zh-CN"/>
              </w:rPr>
              <w:t>昆都仑区</w:t>
            </w:r>
            <w:r>
              <w:rPr>
                <w:rFonts w:hint="eastAsia" w:ascii="Arial"/>
                <w:sz w:val="21"/>
              </w:rPr>
              <w:t>门户网站</w:t>
            </w:r>
          </w:p>
        </w:tc>
        <w:tc>
          <w:tcPr>
            <w:tcW w:w="780" w:type="dxa"/>
            <w:shd w:val="clear" w:color="auto" w:fill="auto"/>
            <w:vAlign w:val="center"/>
          </w:tcPr>
          <w:p>
            <w:pPr>
              <w:jc w:val="center"/>
              <w:rPr>
                <w:rFonts w:ascii="Arial" w:hAnsi="Arial" w:eastAsia="Arial" w:cs="Arial"/>
                <w:snapToGrid w:val="0"/>
                <w:color w:val="000000"/>
                <w:kern w:val="0"/>
                <w:sz w:val="21"/>
                <w:szCs w:val="21"/>
                <w:lang w:val="en-US" w:eastAsia="en-US" w:bidi="ar-SA"/>
              </w:rPr>
            </w:pPr>
            <w:r>
              <w:rPr>
                <w:rFonts w:hint="eastAsia" w:ascii="Arial"/>
                <w:sz w:val="21"/>
              </w:rPr>
              <w:t>全社会</w:t>
            </w:r>
          </w:p>
        </w:tc>
        <w:tc>
          <w:tcPr>
            <w:tcW w:w="735" w:type="dxa"/>
            <w:shd w:val="clear" w:color="auto" w:fill="auto"/>
            <w:vAlign w:val="center"/>
          </w:tcPr>
          <w:p>
            <w:pPr>
              <w:jc w:val="center"/>
              <w:rPr>
                <w:rFonts w:ascii="Arial" w:hAnsi="Arial" w:eastAsia="Arial" w:cs="Arial"/>
                <w:snapToGrid w:val="0"/>
                <w:color w:val="000000"/>
                <w:kern w:val="0"/>
                <w:sz w:val="21"/>
                <w:szCs w:val="21"/>
                <w:lang w:val="en-US" w:eastAsia="en-US" w:bidi="ar-SA"/>
              </w:rPr>
            </w:pPr>
          </w:p>
        </w:tc>
        <w:tc>
          <w:tcPr>
            <w:tcW w:w="585" w:type="dxa"/>
            <w:shd w:val="clear" w:color="auto" w:fill="auto"/>
            <w:vAlign w:val="center"/>
          </w:tcPr>
          <w:p>
            <w:pPr>
              <w:jc w:val="cente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办公室</w:t>
            </w:r>
          </w:p>
        </w:tc>
        <w:tc>
          <w:tcPr>
            <w:tcW w:w="1020" w:type="dxa"/>
            <w:vAlign w:val="center"/>
          </w:tcPr>
          <w:p>
            <w:pPr>
              <w:jc w:val="center"/>
              <w:rPr>
                <w:rFonts w:ascii="Arial"/>
                <w:sz w:val="21"/>
              </w:rPr>
            </w:pPr>
            <w:r>
              <w:rPr>
                <w:rFonts w:hint="eastAsia" w:ascii="Arial"/>
                <w:sz w:val="21"/>
              </w:rPr>
              <w:t>主动公开本行政机关的政府信息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846" w:type="dxa"/>
            <w:vAlign w:val="center"/>
          </w:tcPr>
          <w:p>
            <w:pPr>
              <w:jc w:val="center"/>
              <w:rPr>
                <w:rFonts w:hint="default" w:ascii="Arial" w:eastAsia="宋体"/>
                <w:sz w:val="21"/>
                <w:lang w:val="en-US" w:eastAsia="zh-CN"/>
              </w:rPr>
            </w:pPr>
            <w:r>
              <w:rPr>
                <w:rFonts w:hint="eastAsia" w:eastAsia="宋体"/>
                <w:sz w:val="21"/>
                <w:lang w:val="en-US" w:eastAsia="zh-CN"/>
              </w:rPr>
              <w:t>政策文件</w:t>
            </w:r>
          </w:p>
        </w:tc>
        <w:tc>
          <w:tcPr>
            <w:tcW w:w="773" w:type="dxa"/>
            <w:vAlign w:val="center"/>
          </w:tcPr>
          <w:p>
            <w:pPr>
              <w:jc w:val="center"/>
              <w:rPr>
                <w:rFonts w:hint="eastAsia" w:ascii="Arial"/>
                <w:sz w:val="21"/>
                <w:lang w:val="en-US" w:eastAsia="en-US"/>
              </w:rPr>
            </w:pPr>
            <w:r>
              <w:rPr>
                <w:rFonts w:hint="eastAsia" w:ascii="Arial"/>
                <w:sz w:val="21"/>
                <w:lang w:val="en-US" w:eastAsia="zh-CN"/>
              </w:rPr>
              <w:t>行政规范性文件</w:t>
            </w:r>
          </w:p>
        </w:tc>
        <w:tc>
          <w:tcPr>
            <w:tcW w:w="870" w:type="dxa"/>
            <w:vAlign w:val="center"/>
          </w:tcPr>
          <w:p>
            <w:pPr>
              <w:jc w:val="both"/>
              <w:rPr>
                <w:rFonts w:hint="eastAsia" w:ascii="Arial"/>
                <w:sz w:val="21"/>
              </w:rPr>
            </w:pPr>
          </w:p>
        </w:tc>
        <w:tc>
          <w:tcPr>
            <w:tcW w:w="5535" w:type="dxa"/>
            <w:vAlign w:val="center"/>
          </w:tcPr>
          <w:p>
            <w:pPr>
              <w:jc w:val="both"/>
              <w:rPr>
                <w:rFonts w:hint="eastAsia" w:ascii="Arial"/>
                <w:sz w:val="21"/>
                <w:lang w:val="en-US" w:eastAsia="zh-CN"/>
              </w:rPr>
            </w:pPr>
            <w:r>
              <w:rPr>
                <w:rFonts w:hint="eastAsia" w:ascii="Arial"/>
                <w:sz w:val="21"/>
                <w:lang w:val="en-US" w:eastAsia="zh-CN"/>
              </w:rPr>
              <w:t>本部门制发的规范性文件，包括标题、成文日期、发布日期、规范性文件编号、有效性和正文</w:t>
            </w:r>
          </w:p>
        </w:tc>
        <w:tc>
          <w:tcPr>
            <w:tcW w:w="1950" w:type="dxa"/>
            <w:vAlign w:val="center"/>
          </w:tcPr>
          <w:p>
            <w:pPr>
              <w:jc w:val="center"/>
              <w:rPr>
                <w:rFonts w:hint="eastAsia" w:ascii="Arial"/>
                <w:sz w:val="21"/>
              </w:rPr>
            </w:pPr>
            <w:r>
              <w:rPr>
                <w:rFonts w:hint="eastAsia" w:ascii="Arial"/>
                <w:sz w:val="21"/>
              </w:rPr>
              <w:t>《中华人民共和国政府信息公开条例》</w:t>
            </w:r>
          </w:p>
        </w:tc>
        <w:tc>
          <w:tcPr>
            <w:tcW w:w="3990" w:type="dxa"/>
            <w:vAlign w:val="center"/>
          </w:tcPr>
          <w:p>
            <w:pPr>
              <w:jc w:val="center"/>
              <w:rPr>
                <w:rFonts w:hint="eastAsia" w:ascii="Arial"/>
                <w:sz w:val="21"/>
              </w:rPr>
            </w:pPr>
            <w:r>
              <w:rPr>
                <w:rFonts w:hint="eastAsia" w:ascii="Arial"/>
                <w:sz w:val="21"/>
              </w:rPr>
              <w:t>第二十条 行政机关应当依照本条例第十九条的规定，主动公开本行政 机关的下列政府信息： （一）行政法规、规章和规范性文件；</w:t>
            </w:r>
          </w:p>
        </w:tc>
        <w:tc>
          <w:tcPr>
            <w:tcW w:w="1050" w:type="dxa"/>
            <w:vAlign w:val="center"/>
          </w:tcPr>
          <w:p>
            <w:pPr>
              <w:jc w:val="center"/>
              <w:rPr>
                <w:rFonts w:hint="eastAsia" w:ascii="Arial"/>
                <w:sz w:val="21"/>
              </w:rPr>
            </w:pPr>
            <w:r>
              <w:rPr>
                <w:rFonts w:hint="eastAsia" w:ascii="Arial"/>
                <w:sz w:val="21"/>
              </w:rPr>
              <w:t>行政法规</w:t>
            </w:r>
          </w:p>
        </w:tc>
        <w:tc>
          <w:tcPr>
            <w:tcW w:w="735" w:type="dxa"/>
            <w:vAlign w:val="center"/>
          </w:tcPr>
          <w:p>
            <w:pPr>
              <w:jc w:val="center"/>
              <w:rPr>
                <w:rFonts w:hint="eastAsia" w:ascii="Arial"/>
                <w:sz w:val="21"/>
              </w:rPr>
            </w:pPr>
            <w:r>
              <w:rPr>
                <w:rFonts w:hint="eastAsia" w:ascii="Arial"/>
                <w:sz w:val="21"/>
              </w:rPr>
              <w:t>自政府信息形成或者变更之日起20个工作日内</w:t>
            </w:r>
          </w:p>
        </w:tc>
        <w:tc>
          <w:tcPr>
            <w:tcW w:w="885" w:type="dxa"/>
            <w:shd w:val="clear" w:color="auto" w:fill="auto"/>
            <w:vAlign w:val="center"/>
          </w:tcPr>
          <w:p>
            <w:pPr>
              <w:jc w:val="center"/>
              <w:rPr>
                <w:rFonts w:hint="eastAsia" w:ascii="Arial"/>
                <w:sz w:val="21"/>
                <w:lang w:val="en-US" w:eastAsia="zh-CN"/>
              </w:rPr>
            </w:pPr>
            <w:r>
              <w:rPr>
                <w:rFonts w:hint="eastAsia" w:eastAsia="宋体"/>
                <w:sz w:val="21"/>
                <w:lang w:val="en-US" w:eastAsia="zh-CN"/>
              </w:rPr>
              <w:t>昆区</w:t>
            </w:r>
            <w:r>
              <w:rPr>
                <w:rFonts w:hint="eastAsia" w:ascii="Arial"/>
                <w:sz w:val="21"/>
              </w:rPr>
              <w:t>财政局</w:t>
            </w:r>
          </w:p>
        </w:tc>
        <w:tc>
          <w:tcPr>
            <w:tcW w:w="1155" w:type="dxa"/>
            <w:shd w:val="clear" w:color="auto" w:fill="auto"/>
            <w:vAlign w:val="center"/>
          </w:tcPr>
          <w:p>
            <w:pPr>
              <w:jc w:val="center"/>
              <w:rPr>
                <w:rFonts w:hint="eastAsia" w:ascii="Arial"/>
                <w:sz w:val="21"/>
                <w:lang w:eastAsia="zh-CN"/>
              </w:rPr>
            </w:pPr>
            <w:r>
              <w:rPr>
                <w:rFonts w:hint="eastAsia" w:ascii="Arial" w:eastAsia="宋体"/>
                <w:sz w:val="21"/>
                <w:lang w:eastAsia="zh-CN"/>
              </w:rPr>
              <w:t>法定公开</w:t>
            </w:r>
          </w:p>
        </w:tc>
        <w:tc>
          <w:tcPr>
            <w:tcW w:w="960" w:type="dxa"/>
            <w:shd w:val="clear" w:color="auto" w:fill="auto"/>
            <w:vAlign w:val="center"/>
          </w:tcPr>
          <w:p>
            <w:pPr>
              <w:jc w:val="center"/>
              <w:rPr>
                <w:rFonts w:hint="eastAsia" w:ascii="Arial"/>
                <w:sz w:val="21"/>
                <w:lang w:val="en-US" w:eastAsia="zh-CN"/>
              </w:rPr>
            </w:pPr>
            <w:r>
              <w:rPr>
                <w:rFonts w:hint="eastAsia" w:eastAsia="宋体"/>
                <w:sz w:val="21"/>
                <w:lang w:val="en-US" w:eastAsia="zh-CN"/>
              </w:rPr>
              <w:t>昆都仑区</w:t>
            </w:r>
            <w:r>
              <w:rPr>
                <w:rFonts w:hint="eastAsia" w:ascii="Arial"/>
                <w:sz w:val="21"/>
              </w:rPr>
              <w:t>门户网站</w:t>
            </w:r>
          </w:p>
        </w:tc>
        <w:tc>
          <w:tcPr>
            <w:tcW w:w="780" w:type="dxa"/>
            <w:shd w:val="clear" w:color="auto" w:fill="auto"/>
            <w:vAlign w:val="center"/>
          </w:tcPr>
          <w:p>
            <w:pPr>
              <w:jc w:val="center"/>
              <w:rPr>
                <w:rFonts w:hint="eastAsia" w:ascii="Arial"/>
                <w:sz w:val="21"/>
              </w:rPr>
            </w:pPr>
            <w:r>
              <w:rPr>
                <w:rFonts w:hint="eastAsia" w:ascii="Arial"/>
                <w:sz w:val="21"/>
              </w:rPr>
              <w:t>全社会</w:t>
            </w:r>
          </w:p>
        </w:tc>
        <w:tc>
          <w:tcPr>
            <w:tcW w:w="735" w:type="dxa"/>
            <w:shd w:val="clear" w:color="auto" w:fill="auto"/>
            <w:vAlign w:val="center"/>
          </w:tcPr>
          <w:p>
            <w:pPr>
              <w:jc w:val="center"/>
              <w:rPr>
                <w:rFonts w:hint="eastAsia" w:ascii="Arial"/>
                <w:sz w:val="21"/>
                <w:lang w:val="en-US" w:eastAsia="en-US"/>
              </w:rPr>
            </w:pPr>
          </w:p>
        </w:tc>
        <w:tc>
          <w:tcPr>
            <w:tcW w:w="585" w:type="dxa"/>
            <w:shd w:val="clear" w:color="auto" w:fill="auto"/>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各业务股室</w:t>
            </w:r>
          </w:p>
        </w:tc>
        <w:tc>
          <w:tcPr>
            <w:tcW w:w="1020" w:type="dxa"/>
            <w:vAlign w:val="center"/>
          </w:tcPr>
          <w:p>
            <w:pPr>
              <w:jc w:val="center"/>
              <w:rPr>
                <w:rFonts w:hint="eastAsia" w:ascii="Arial" w:hAnsi="Arial" w:eastAsia="Arial" w:cs="Arial"/>
                <w:snapToGrid w:val="0"/>
                <w:color w:val="000000"/>
                <w:kern w:val="0"/>
                <w:sz w:val="21"/>
                <w:szCs w:val="21"/>
                <w:lang w:val="en-US" w:eastAsia="en-US" w:bidi="ar-SA"/>
              </w:rPr>
            </w:pPr>
            <w:r>
              <w:rPr>
                <w:rFonts w:hint="eastAsia" w:ascii="Arial"/>
                <w:sz w:val="21"/>
              </w:rPr>
              <w:t>及时对本部门制发的应主动公开的规范性文件进行公开。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846" w:type="dxa"/>
            <w:vMerge w:val="restart"/>
            <w:vAlign w:val="center"/>
          </w:tcPr>
          <w:p>
            <w:pPr>
              <w:jc w:val="center"/>
              <w:rPr>
                <w:rFonts w:hint="eastAsia" w:ascii="Arial"/>
                <w:sz w:val="21"/>
              </w:rPr>
            </w:pPr>
            <w:r>
              <w:rPr>
                <w:rFonts w:hint="eastAsia" w:ascii="Arial"/>
                <w:sz w:val="21"/>
              </w:rPr>
              <w:t>财政信息</w:t>
            </w:r>
          </w:p>
        </w:tc>
        <w:tc>
          <w:tcPr>
            <w:tcW w:w="773" w:type="dxa"/>
            <w:vMerge w:val="restart"/>
            <w:vAlign w:val="center"/>
          </w:tcPr>
          <w:p>
            <w:pPr>
              <w:jc w:val="center"/>
              <w:rPr>
                <w:rFonts w:hint="eastAsia" w:ascii="Arial"/>
                <w:sz w:val="21"/>
                <w:lang w:val="en-US" w:eastAsia="zh-CN"/>
              </w:rPr>
            </w:pPr>
            <w:r>
              <w:rPr>
                <w:rFonts w:hint="eastAsia" w:ascii="Arial"/>
                <w:sz w:val="21"/>
                <w:lang w:val="en-US" w:eastAsia="zh-CN"/>
              </w:rPr>
              <w:t>财政预决算</w:t>
            </w:r>
          </w:p>
        </w:tc>
        <w:tc>
          <w:tcPr>
            <w:tcW w:w="870" w:type="dxa"/>
            <w:vAlign w:val="center"/>
          </w:tcPr>
          <w:p>
            <w:pPr>
              <w:jc w:val="center"/>
              <w:rPr>
                <w:rFonts w:hint="eastAsia" w:ascii="Arial"/>
                <w:sz w:val="21"/>
              </w:rPr>
            </w:pPr>
            <w:r>
              <w:rPr>
                <w:rFonts w:hint="eastAsia" w:ascii="Arial"/>
                <w:sz w:val="21"/>
              </w:rPr>
              <w:t>政府预</w:t>
            </w:r>
          </w:p>
          <w:p>
            <w:pPr>
              <w:jc w:val="center"/>
              <w:rPr>
                <w:rFonts w:hint="eastAsia" w:ascii="Arial"/>
                <w:sz w:val="21"/>
              </w:rPr>
            </w:pPr>
            <w:r>
              <w:rPr>
                <w:rFonts w:hint="eastAsia" w:ascii="Arial"/>
                <w:sz w:val="21"/>
              </w:rPr>
              <w:t>决算</w:t>
            </w:r>
          </w:p>
        </w:tc>
        <w:tc>
          <w:tcPr>
            <w:tcW w:w="5535" w:type="dxa"/>
            <w:vAlign w:val="center"/>
          </w:tcPr>
          <w:p>
            <w:pPr>
              <w:jc w:val="both"/>
              <w:rPr>
                <w:rFonts w:hint="eastAsia" w:ascii="Arial"/>
                <w:sz w:val="21"/>
                <w:lang w:val="en-US" w:eastAsia="zh-CN"/>
              </w:rPr>
            </w:pPr>
            <w:r>
              <w:rPr>
                <w:rFonts w:hint="eastAsia" w:ascii="Arial"/>
                <w:sz w:val="21"/>
                <w:lang w:val="en-US" w:eastAsia="zh-CN"/>
              </w:rPr>
              <w:t>1.地方各级财政部门应当公开一般公共预算、政府性基金预算、国有资本经营预算、社会保险基金预算四本预算。涉及国家秘密的除外。</w:t>
            </w:r>
          </w:p>
          <w:p>
            <w:pPr>
              <w:jc w:val="both"/>
              <w:rPr>
                <w:rFonts w:hint="eastAsia" w:ascii="Arial"/>
                <w:sz w:val="21"/>
                <w:lang w:val="en-US" w:eastAsia="zh-CN"/>
              </w:rPr>
            </w:pPr>
            <w:r>
              <w:rPr>
                <w:rFonts w:hint="eastAsia" w:ascii="Arial"/>
                <w:sz w:val="21"/>
                <w:lang w:val="en-US" w:eastAsia="zh-CN"/>
              </w:rPr>
              <w:t>2.地方一般公共预算原则上至少公开6张报表，包括：①一般公共预算收入表。②一般公共预算支出表。③一般公共预算本级支出表。④一般公共预算本级基本支出表。⑤一般公共预算税收返还和转移支付表。⑥政府一般债务限额和余额情况表。地方本级汇总的一般公共预算“三公”经费，包括预算总额，以及因公出国（境）费、公务用车购置及运行费（区分公务用车购置费、公务用车运行费两项）、公务接待费分项数额，由地方各级财政部门负责公开，并对增减变化情况进行说明。</w:t>
            </w:r>
          </w:p>
          <w:p>
            <w:pPr>
              <w:jc w:val="both"/>
              <w:rPr>
                <w:rFonts w:hint="eastAsia" w:ascii="Arial"/>
                <w:sz w:val="21"/>
                <w:lang w:val="en-US" w:eastAsia="zh-CN"/>
              </w:rPr>
            </w:pPr>
            <w:r>
              <w:rPr>
                <w:rFonts w:hint="eastAsia" w:ascii="Arial"/>
                <w:sz w:val="21"/>
                <w:lang w:val="en-US" w:eastAsia="zh-CN"/>
              </w:rPr>
              <w:t>3.地方政府性基金预算原则上至少公开4张报表，包括：①政府性基金收入表。②政府性基金支出表。③政府性基金转移支付表。④政府专项债务限额和余额情况表。</w:t>
            </w:r>
          </w:p>
          <w:p>
            <w:pPr>
              <w:jc w:val="both"/>
              <w:rPr>
                <w:rFonts w:hint="eastAsia" w:ascii="Arial"/>
                <w:sz w:val="21"/>
                <w:lang w:val="en-US" w:eastAsia="zh-CN"/>
              </w:rPr>
            </w:pPr>
            <w:r>
              <w:rPr>
                <w:rFonts w:hint="eastAsia" w:ascii="Arial"/>
                <w:sz w:val="21"/>
                <w:lang w:val="en-US" w:eastAsia="zh-CN"/>
              </w:rPr>
              <w:t>4.地方国有资本经营预算原则上至少公开2张报表，包括：①国有资本经营预算收入表。②国有资本经营预算支出表。对下安排转移支付的应当公开国有资本经营预算转移支付表。</w:t>
            </w:r>
          </w:p>
          <w:p>
            <w:pPr>
              <w:jc w:val="both"/>
              <w:rPr>
                <w:rFonts w:hint="eastAsia" w:ascii="Arial"/>
                <w:sz w:val="21"/>
                <w:lang w:val="en-US" w:eastAsia="zh-CN"/>
              </w:rPr>
            </w:pPr>
            <w:r>
              <w:rPr>
                <w:rFonts w:hint="eastAsia" w:ascii="Arial"/>
                <w:sz w:val="21"/>
                <w:lang w:val="en-US" w:eastAsia="zh-CN"/>
              </w:rPr>
              <w:t>5.地方社会保险基金预算原则上至少公开2张报表，包括：①社会保险基金收入表。②社会保险基金支出表。没有数据的表格应当列出空表并说明。</w:t>
            </w:r>
          </w:p>
          <w:p>
            <w:pPr>
              <w:jc w:val="both"/>
              <w:rPr>
                <w:rFonts w:hint="eastAsia" w:ascii="Arial"/>
                <w:sz w:val="21"/>
                <w:lang w:val="en-US" w:eastAsia="zh-CN"/>
              </w:rPr>
            </w:pPr>
            <w:r>
              <w:rPr>
                <w:rFonts w:hint="eastAsia" w:ascii="Arial"/>
                <w:sz w:val="21"/>
                <w:lang w:val="en-US" w:eastAsia="zh-CN"/>
              </w:rPr>
              <w:t>6.地方一般公共预算、政府性基金预算、国有资本经营预算和社会保险基金预算报表中涉及本级支出的，应当公开到功能分类项级科目。一般公共预算基本支出应当公开到经济性质分类款级科目，专项转移支付、分项目公开。</w:t>
            </w:r>
          </w:p>
          <w:p>
            <w:pPr>
              <w:jc w:val="both"/>
              <w:rPr>
                <w:rFonts w:hint="eastAsia" w:ascii="Arial"/>
                <w:sz w:val="21"/>
                <w:lang w:val="en-US" w:eastAsia="zh-CN"/>
              </w:rPr>
            </w:pPr>
            <w:r>
              <w:rPr>
                <w:rFonts w:hint="eastAsia" w:ascii="Arial"/>
                <w:sz w:val="21"/>
                <w:lang w:val="en-US" w:eastAsia="zh-CN"/>
              </w:rPr>
              <w:t>7.举借政府债务、预算绩效工作开展情况等重要事项进行解释、说明。</w:t>
            </w:r>
          </w:p>
        </w:tc>
        <w:tc>
          <w:tcPr>
            <w:tcW w:w="1950" w:type="dxa"/>
            <w:vAlign w:val="center"/>
          </w:tcPr>
          <w:p>
            <w:pPr>
              <w:jc w:val="center"/>
              <w:rPr>
                <w:rFonts w:hint="eastAsia" w:ascii="Arial"/>
                <w:sz w:val="21"/>
              </w:rPr>
            </w:pPr>
            <w:r>
              <w:rPr>
                <w:rFonts w:hint="eastAsia" w:ascii="Arial"/>
                <w:sz w:val="21"/>
              </w:rPr>
              <w:t>1.《中华人民共和国预算法》；</w:t>
            </w:r>
          </w:p>
          <w:p>
            <w:pPr>
              <w:jc w:val="center"/>
              <w:rPr>
                <w:rFonts w:hint="eastAsia" w:ascii="Arial"/>
                <w:sz w:val="21"/>
              </w:rPr>
            </w:pPr>
            <w:r>
              <w:rPr>
                <w:rFonts w:hint="eastAsia" w:ascii="Arial"/>
                <w:sz w:val="21"/>
              </w:rPr>
              <w:t>2.《财政部关于印发&lt;地方预决算公开操作规程&gt;的通知》（财预〔2016〕143号）</w:t>
            </w:r>
          </w:p>
          <w:p>
            <w:pPr>
              <w:jc w:val="center"/>
              <w:rPr>
                <w:rFonts w:hint="eastAsia" w:ascii="Arial"/>
                <w:sz w:val="21"/>
              </w:rPr>
            </w:pPr>
            <w:r>
              <w:rPr>
                <w:rFonts w:hint="eastAsia" w:ascii="Arial"/>
                <w:sz w:val="21"/>
              </w:rPr>
              <w:t>3.地方政府债券信息公开办法（试行）》（财预﹝2018﹞209号）</w:t>
            </w:r>
          </w:p>
        </w:tc>
        <w:tc>
          <w:tcPr>
            <w:tcW w:w="3990" w:type="dxa"/>
            <w:vAlign w:val="center"/>
          </w:tcPr>
          <w:p>
            <w:pPr>
              <w:jc w:val="center"/>
              <w:rPr>
                <w:rFonts w:hint="eastAsia" w:ascii="Arial"/>
                <w:sz w:val="21"/>
              </w:rPr>
            </w:pPr>
            <w:r>
              <w:rPr>
                <w:rFonts w:hint="eastAsia" w:ascii="Arial"/>
                <w:sz w:val="21"/>
              </w:rPr>
              <w:t>《中华人民共和国预算法》：</w:t>
            </w:r>
          </w:p>
          <w:p>
            <w:pPr>
              <w:jc w:val="center"/>
              <w:rPr>
                <w:rFonts w:hint="eastAsia" w:ascii="Arial"/>
                <w:sz w:val="21"/>
              </w:rPr>
            </w:pPr>
            <w:r>
              <w:rPr>
                <w:rFonts w:hint="eastAsia" w:ascii="Arial"/>
                <w:sz w:val="21"/>
              </w:rPr>
              <w:t>第十四条　经本级人民代表大会或者本级人民代表大会常务委员会批准的预算、预算调整、决算、预算执行情况的报告及报表，应当在批准后二十日内由本级政府财政部门向社会公开，并对……等重要事项作出说明。</w:t>
            </w:r>
          </w:p>
          <w:p>
            <w:pPr>
              <w:jc w:val="center"/>
              <w:rPr>
                <w:rFonts w:hint="eastAsia" w:ascii="Arial"/>
                <w:sz w:val="21"/>
              </w:rPr>
            </w:pPr>
          </w:p>
          <w:p>
            <w:pPr>
              <w:jc w:val="center"/>
              <w:rPr>
                <w:rFonts w:hint="eastAsia" w:ascii="Arial"/>
                <w:sz w:val="21"/>
              </w:rPr>
            </w:pPr>
            <w:r>
              <w:rPr>
                <w:rFonts w:hint="eastAsia" w:ascii="Arial"/>
                <w:sz w:val="21"/>
              </w:rPr>
              <w:t>《财政部关于印发&lt;地方预决算公开操作规程&gt;的通知》（财预[2016]143号）：</w:t>
            </w:r>
          </w:p>
          <w:p>
            <w:pPr>
              <w:jc w:val="center"/>
              <w:rPr>
                <w:rFonts w:hint="eastAsia" w:ascii="Arial"/>
                <w:sz w:val="21"/>
              </w:rPr>
            </w:pPr>
            <w:r>
              <w:rPr>
                <w:rFonts w:hint="eastAsia" w:ascii="Arial"/>
                <w:sz w:val="21"/>
              </w:rPr>
              <w:t>　第五条 地方各级财政部门在本级政府信息公开工作主管部门领导下……负责向社会公开政府预决算；</w:t>
            </w:r>
          </w:p>
          <w:p>
            <w:pPr>
              <w:jc w:val="center"/>
              <w:rPr>
                <w:rFonts w:hint="eastAsia" w:ascii="Arial"/>
                <w:sz w:val="21"/>
              </w:rPr>
            </w:pPr>
            <w:r>
              <w:rPr>
                <w:rFonts w:hint="eastAsia" w:ascii="Arial"/>
                <w:sz w:val="21"/>
              </w:rPr>
              <w:t xml:space="preserve">  第十条 地方各级财政部门应当公开一般公共预算、政府性基金预算、国有资本经营预算、社会保险基金预算四本预算。涉及国家秘密的除外。</w:t>
            </w:r>
          </w:p>
          <w:p>
            <w:pPr>
              <w:jc w:val="center"/>
              <w:rPr>
                <w:rFonts w:hint="eastAsia" w:ascii="Arial"/>
                <w:sz w:val="21"/>
              </w:rPr>
            </w:pPr>
            <w:r>
              <w:rPr>
                <w:rFonts w:hint="eastAsia" w:ascii="Arial"/>
                <w:sz w:val="21"/>
              </w:rPr>
              <w:t>　第十一条 地方一般公共预算原则上至少公开6张报表，包括：①一般公共预算收入表……</w:t>
            </w:r>
          </w:p>
          <w:p>
            <w:pPr>
              <w:jc w:val="center"/>
              <w:rPr>
                <w:rFonts w:hint="eastAsia" w:ascii="Arial"/>
                <w:sz w:val="21"/>
              </w:rPr>
            </w:pPr>
            <w:r>
              <w:rPr>
                <w:rFonts w:hint="eastAsia" w:ascii="Arial"/>
                <w:sz w:val="21"/>
              </w:rPr>
              <w:t>　第十二条 地方政府性基金预算原则上至少公开4张报表，包括：①政府性基金收入表……</w:t>
            </w:r>
          </w:p>
          <w:p>
            <w:pPr>
              <w:jc w:val="center"/>
              <w:rPr>
                <w:rFonts w:hint="eastAsia" w:ascii="Arial"/>
                <w:sz w:val="21"/>
              </w:rPr>
            </w:pPr>
            <w:r>
              <w:rPr>
                <w:rFonts w:hint="eastAsia" w:ascii="Arial"/>
                <w:sz w:val="21"/>
              </w:rPr>
              <w:t>　第十三条 地方国有资本经营预算原则上至少公开2张报表……</w:t>
            </w:r>
          </w:p>
          <w:p>
            <w:pPr>
              <w:jc w:val="center"/>
              <w:rPr>
                <w:rFonts w:hint="eastAsia" w:ascii="Arial"/>
                <w:sz w:val="21"/>
              </w:rPr>
            </w:pPr>
            <w:r>
              <w:rPr>
                <w:rFonts w:hint="eastAsia" w:ascii="Arial"/>
                <w:sz w:val="21"/>
              </w:rPr>
              <w:t>　第十四条 地方社会保险基金预算原则上至少公开2张报表……</w:t>
            </w:r>
          </w:p>
          <w:p>
            <w:pPr>
              <w:jc w:val="center"/>
              <w:rPr>
                <w:rFonts w:hint="eastAsia" w:ascii="Arial"/>
                <w:sz w:val="21"/>
              </w:rPr>
            </w:pPr>
            <w:r>
              <w:rPr>
                <w:rFonts w:hint="eastAsia" w:ascii="Arial"/>
                <w:sz w:val="21"/>
              </w:rPr>
              <w:t>　第十五条 地方一般公共预算、政府性基金预算、国有资本经营预算和社会保险基金预算报表中涉及本级支出的，应当公开到功能分类项级科目……</w:t>
            </w:r>
          </w:p>
          <w:p>
            <w:pPr>
              <w:jc w:val="center"/>
              <w:rPr>
                <w:rFonts w:hint="eastAsia" w:ascii="Arial"/>
                <w:sz w:val="21"/>
              </w:rPr>
            </w:pPr>
            <w:r>
              <w:rPr>
                <w:rFonts w:hint="eastAsia" w:ascii="Arial"/>
                <w:sz w:val="21"/>
              </w:rPr>
              <w:t>　第十六条 地方各级财政部门在公开政府预决算时，应当对财政转移支付安排、举借政府债务、预算绩效工作开展情况等重要事项进行解释、说明。</w:t>
            </w:r>
          </w:p>
          <w:p>
            <w:pPr>
              <w:jc w:val="center"/>
              <w:rPr>
                <w:rFonts w:hint="eastAsia" w:ascii="Arial"/>
                <w:sz w:val="21"/>
              </w:rPr>
            </w:pPr>
            <w:r>
              <w:rPr>
                <w:rFonts w:hint="eastAsia" w:ascii="Arial"/>
                <w:sz w:val="21"/>
              </w:rPr>
              <w:t>3.《地方政府债券信息公开办法》</w:t>
            </w:r>
          </w:p>
          <w:p>
            <w:pPr>
              <w:jc w:val="center"/>
              <w:rPr>
                <w:rFonts w:hint="eastAsia" w:ascii="Arial"/>
                <w:sz w:val="21"/>
              </w:rPr>
            </w:pPr>
            <w:r>
              <w:rPr>
                <w:rFonts w:hint="eastAsia" w:ascii="Arial"/>
                <w:sz w:val="21"/>
              </w:rPr>
              <w:t>第五条【预决算公开】县级以上地方各级财政部门（以下简称“地方各级财政部门”）应当随同预决算公开地方政府债务限额、余额、使用安排及还本付息等信息。</w:t>
            </w:r>
          </w:p>
          <w:p>
            <w:pPr>
              <w:jc w:val="center"/>
              <w:rPr>
                <w:rFonts w:hint="eastAsia" w:ascii="Arial"/>
                <w:sz w:val="21"/>
              </w:rPr>
            </w:pPr>
          </w:p>
        </w:tc>
        <w:tc>
          <w:tcPr>
            <w:tcW w:w="1050" w:type="dxa"/>
            <w:vAlign w:val="center"/>
          </w:tcPr>
          <w:p>
            <w:pPr>
              <w:jc w:val="center"/>
              <w:rPr>
                <w:rFonts w:hint="eastAsia" w:ascii="Arial"/>
                <w:sz w:val="21"/>
              </w:rPr>
            </w:pPr>
            <w:r>
              <w:rPr>
                <w:rFonts w:hint="eastAsia" w:ascii="Arial"/>
                <w:sz w:val="21"/>
              </w:rPr>
              <w:t>法律，</w:t>
            </w:r>
          </w:p>
          <w:p>
            <w:pPr>
              <w:jc w:val="center"/>
              <w:rPr>
                <w:rFonts w:hint="eastAsia" w:ascii="Arial"/>
                <w:sz w:val="21"/>
              </w:rPr>
            </w:pPr>
            <w:r>
              <w:rPr>
                <w:rFonts w:hint="eastAsia" w:ascii="Arial"/>
                <w:sz w:val="21"/>
              </w:rPr>
              <w:t>规范性文件</w:t>
            </w:r>
          </w:p>
        </w:tc>
        <w:tc>
          <w:tcPr>
            <w:tcW w:w="735" w:type="dxa"/>
            <w:vAlign w:val="center"/>
          </w:tcPr>
          <w:p>
            <w:pPr>
              <w:jc w:val="center"/>
              <w:rPr>
                <w:rFonts w:hint="eastAsia" w:ascii="Arial"/>
                <w:sz w:val="21"/>
              </w:rPr>
            </w:pPr>
            <w:r>
              <w:rPr>
                <w:rFonts w:hint="eastAsia" w:ascii="Arial"/>
                <w:sz w:val="21"/>
              </w:rPr>
              <w:t>本级人民代表大会或本级人民代表大会常务委员会批准后20日内</w:t>
            </w:r>
          </w:p>
        </w:tc>
        <w:tc>
          <w:tcPr>
            <w:tcW w:w="885" w:type="dxa"/>
            <w:shd w:val="clear" w:color="auto" w:fill="auto"/>
            <w:vAlign w:val="center"/>
          </w:tcPr>
          <w:p>
            <w:pPr>
              <w:jc w:val="center"/>
              <w:rPr>
                <w:rFonts w:hint="eastAsia" w:ascii="Arial" w:hAnsi="Arial" w:eastAsia="Arial" w:cs="Arial"/>
                <w:snapToGrid w:val="0"/>
                <w:color w:val="000000"/>
                <w:kern w:val="0"/>
                <w:sz w:val="21"/>
                <w:szCs w:val="21"/>
                <w:lang w:val="en-US" w:eastAsia="zh-CN" w:bidi="ar-SA"/>
              </w:rPr>
            </w:pPr>
            <w:r>
              <w:rPr>
                <w:rFonts w:hint="eastAsia" w:eastAsia="宋体"/>
                <w:sz w:val="21"/>
                <w:lang w:val="en-US" w:eastAsia="zh-CN"/>
              </w:rPr>
              <w:t>昆区</w:t>
            </w:r>
            <w:r>
              <w:rPr>
                <w:rFonts w:hint="eastAsia" w:ascii="Arial"/>
                <w:sz w:val="21"/>
              </w:rPr>
              <w:t>财政局</w:t>
            </w:r>
          </w:p>
        </w:tc>
        <w:tc>
          <w:tcPr>
            <w:tcW w:w="1155" w:type="dxa"/>
            <w:shd w:val="clear" w:color="auto" w:fill="auto"/>
            <w:vAlign w:val="center"/>
          </w:tcPr>
          <w:p>
            <w:pPr>
              <w:jc w:val="center"/>
              <w:rPr>
                <w:rFonts w:hint="eastAsia" w:ascii="Arial" w:hAnsi="Arial" w:eastAsia="Arial" w:cs="Arial"/>
                <w:snapToGrid w:val="0"/>
                <w:color w:val="000000"/>
                <w:kern w:val="0"/>
                <w:sz w:val="21"/>
                <w:szCs w:val="21"/>
                <w:lang w:val="en-US" w:eastAsia="zh-CN" w:bidi="ar-SA"/>
              </w:rPr>
            </w:pPr>
            <w:r>
              <w:rPr>
                <w:rFonts w:hint="eastAsia" w:ascii="Arial" w:eastAsia="宋体"/>
                <w:sz w:val="21"/>
                <w:lang w:eastAsia="zh-CN"/>
              </w:rPr>
              <w:t>法定公开</w:t>
            </w:r>
          </w:p>
        </w:tc>
        <w:tc>
          <w:tcPr>
            <w:tcW w:w="960" w:type="dxa"/>
            <w:shd w:val="clear" w:color="auto" w:fill="auto"/>
            <w:vAlign w:val="center"/>
          </w:tcPr>
          <w:p>
            <w:pPr>
              <w:jc w:val="center"/>
              <w:rPr>
                <w:rFonts w:hint="eastAsia" w:eastAsia="宋体"/>
                <w:sz w:val="21"/>
                <w:lang w:val="en-US" w:eastAsia="zh-CN"/>
              </w:rPr>
            </w:pPr>
            <w:r>
              <w:rPr>
                <w:rFonts w:hint="eastAsia" w:eastAsia="宋体"/>
                <w:sz w:val="21"/>
                <w:lang w:val="en-US" w:eastAsia="zh-CN"/>
              </w:rPr>
              <w:t>内蒙古自治区财政预决算公开平台</w:t>
            </w:r>
          </w:p>
        </w:tc>
        <w:tc>
          <w:tcPr>
            <w:tcW w:w="780" w:type="dxa"/>
            <w:shd w:val="clear" w:color="auto" w:fill="auto"/>
            <w:vAlign w:val="center"/>
          </w:tcPr>
          <w:p>
            <w:pPr>
              <w:jc w:val="center"/>
              <w:rPr>
                <w:rFonts w:hint="eastAsia" w:ascii="Arial"/>
                <w:sz w:val="21"/>
              </w:rPr>
            </w:pPr>
            <w:r>
              <w:rPr>
                <w:rFonts w:hint="eastAsia" w:ascii="Arial"/>
                <w:sz w:val="21"/>
              </w:rPr>
              <w:t>全社会</w:t>
            </w:r>
          </w:p>
        </w:tc>
        <w:tc>
          <w:tcPr>
            <w:tcW w:w="735" w:type="dxa"/>
            <w:shd w:val="clear" w:color="auto" w:fill="auto"/>
            <w:vAlign w:val="center"/>
          </w:tcPr>
          <w:p>
            <w:pPr>
              <w:jc w:val="center"/>
              <w:rPr>
                <w:rFonts w:hint="eastAsia" w:ascii="Arial"/>
                <w:sz w:val="21"/>
                <w:lang w:val="en-US" w:eastAsia="en-US"/>
              </w:rPr>
            </w:pPr>
          </w:p>
        </w:tc>
        <w:tc>
          <w:tcPr>
            <w:tcW w:w="585" w:type="dxa"/>
            <w:shd w:val="clear" w:color="auto" w:fill="auto"/>
            <w:vAlign w:val="center"/>
          </w:tcPr>
          <w:p>
            <w:pPr>
              <w:jc w:val="center"/>
              <w:rPr>
                <w:rFonts w:hint="eastAsia" w:eastAsia="宋体"/>
                <w:sz w:val="21"/>
                <w:lang w:val="en-US" w:eastAsia="zh-CN"/>
              </w:rPr>
            </w:pPr>
            <w:r>
              <w:rPr>
                <w:rFonts w:hint="eastAsia" w:eastAsia="宋体"/>
                <w:sz w:val="21"/>
                <w:lang w:val="en-US" w:eastAsia="zh-CN"/>
              </w:rPr>
              <w:t>预算股、</w:t>
            </w:r>
          </w:p>
          <w:p>
            <w:pPr>
              <w:jc w:val="center"/>
              <w:rPr>
                <w:rFonts w:hint="default" w:eastAsia="宋体"/>
                <w:sz w:val="21"/>
                <w:lang w:val="en-US" w:eastAsia="zh-CN"/>
              </w:rPr>
            </w:pPr>
            <w:r>
              <w:rPr>
                <w:rFonts w:hint="eastAsia" w:eastAsia="宋体"/>
                <w:sz w:val="21"/>
                <w:lang w:val="en-US" w:eastAsia="zh-CN"/>
              </w:rPr>
              <w:t>国库股、社保股、公共投资股、国资股、行政政法股、教科文股、经济建设股、债务股、</w:t>
            </w:r>
            <w:bookmarkStart w:id="0" w:name="_GoBack"/>
            <w:bookmarkEnd w:id="0"/>
            <w:r>
              <w:rPr>
                <w:rFonts w:hint="eastAsia" w:eastAsia="宋体"/>
                <w:sz w:val="21"/>
                <w:lang w:val="en-US" w:eastAsia="zh-CN"/>
              </w:rPr>
              <w:t>监督监察股</w:t>
            </w:r>
          </w:p>
        </w:tc>
        <w:tc>
          <w:tcPr>
            <w:tcW w:w="1020" w:type="dxa"/>
            <w:vAlign w:val="center"/>
          </w:tcPr>
          <w:p>
            <w:pPr>
              <w:jc w:val="center"/>
              <w:rPr>
                <w:rFonts w:hint="eastAsia" w:ascii="Arial"/>
                <w:sz w:val="21"/>
              </w:rPr>
            </w:pPr>
            <w:r>
              <w:rPr>
                <w:rFonts w:hint="eastAsia" w:ascii="Arial"/>
                <w:sz w:val="21"/>
              </w:rPr>
              <w:t>主动公开本级政府的预决算、债务信息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846" w:type="dxa"/>
            <w:vMerge w:val="continue"/>
            <w:vAlign w:val="center"/>
          </w:tcPr>
          <w:p>
            <w:pPr>
              <w:jc w:val="center"/>
              <w:rPr>
                <w:rFonts w:hint="eastAsia" w:ascii="Arial"/>
                <w:sz w:val="21"/>
              </w:rPr>
            </w:pPr>
          </w:p>
        </w:tc>
        <w:tc>
          <w:tcPr>
            <w:tcW w:w="773" w:type="dxa"/>
            <w:vMerge w:val="continue"/>
            <w:vAlign w:val="center"/>
          </w:tcPr>
          <w:p>
            <w:pPr>
              <w:jc w:val="center"/>
              <w:rPr>
                <w:rFonts w:hint="eastAsia" w:ascii="Arial"/>
                <w:sz w:val="21"/>
                <w:lang w:val="en-US" w:eastAsia="zh-CN"/>
              </w:rPr>
            </w:pPr>
          </w:p>
        </w:tc>
        <w:tc>
          <w:tcPr>
            <w:tcW w:w="870" w:type="dxa"/>
            <w:vAlign w:val="center"/>
          </w:tcPr>
          <w:p>
            <w:pPr>
              <w:jc w:val="both"/>
              <w:rPr>
                <w:rFonts w:hint="eastAsia" w:ascii="Arial"/>
                <w:sz w:val="21"/>
              </w:rPr>
            </w:pPr>
            <w:r>
              <w:rPr>
                <w:rFonts w:hint="eastAsia" w:ascii="Arial"/>
                <w:sz w:val="21"/>
              </w:rPr>
              <w:t>部门预决算（财政局）</w:t>
            </w:r>
          </w:p>
        </w:tc>
        <w:tc>
          <w:tcPr>
            <w:tcW w:w="5535" w:type="dxa"/>
            <w:vAlign w:val="center"/>
          </w:tcPr>
          <w:p>
            <w:pPr>
              <w:jc w:val="both"/>
              <w:rPr>
                <w:rFonts w:hint="eastAsia" w:ascii="Arial"/>
                <w:sz w:val="21"/>
                <w:lang w:val="en-US" w:eastAsia="zh-CN"/>
              </w:rPr>
            </w:pPr>
            <w:r>
              <w:rPr>
                <w:rFonts w:hint="eastAsia" w:ascii="Arial"/>
                <w:sz w:val="21"/>
                <w:lang w:val="en-US" w:eastAsia="zh-CN"/>
              </w:rPr>
              <w:t>1.地方部门预决算公开的内容为地方各级财政部门批复的部门预决算及报表，包括部门收支总体情况和财政拨款收支情况，其中：财政拨款收支情况包括一般公共预算、政府性基金预算、国有资本经营预算拨款收支情况。涉及国家秘密的除外。2.部门收支总体情况原则上至少公开3张报表，包括：①部门收支总体情况表。②部门收入总体情况表。③部门支出总体情况表。财政拨款收支情况原则上至少公开5张报表，包括：①财政拨款收支总体情况表。②一般公共预算支出情况表。③一般公共预算基本支出情况表。④一般公共预算“三公”经费支出情况表。⑤政府性基金预算支出情况表。没有数据的表格应当列出空表并说明。3.一般公共预算支出情况表公开到功能分类项级科目。一般公共预算基本支出表公开到经济性质分类款级科目。一般公共预算“三公”经费支出表按“因公出国（境）费”、“公务用车购置及运行费”、“公务接待费”公开，其中，“公务用车购置及运行费”应当细化到“公务用车购置费”、“公务用车运行费”两个项目。4.地方各部门公开预决算的同时，应当一并公开本部门的职责、机构设置情况、预决算收支增减变化、机关运行经费安排以及政府采购等情况的说明，并对专业性较强的名词进行解释。5.各地区应结合工作进展情况，推动各部门逐步公开国有资产占用、重点项目预算的绩效目标和绩效评价结果等情况。</w:t>
            </w:r>
          </w:p>
        </w:tc>
        <w:tc>
          <w:tcPr>
            <w:tcW w:w="1950" w:type="dxa"/>
            <w:vAlign w:val="center"/>
          </w:tcPr>
          <w:p>
            <w:pPr>
              <w:jc w:val="center"/>
              <w:rPr>
                <w:rFonts w:hint="eastAsia" w:ascii="Arial"/>
                <w:sz w:val="21"/>
              </w:rPr>
            </w:pPr>
            <w:r>
              <w:rPr>
                <w:rFonts w:hint="eastAsia" w:ascii="Arial"/>
                <w:sz w:val="21"/>
              </w:rPr>
              <w:t>按照《中华人民共和国预算法》及内蒙古自治区财政厅有关做好地方预算公开工作要求。</w:t>
            </w:r>
          </w:p>
        </w:tc>
        <w:tc>
          <w:tcPr>
            <w:tcW w:w="3990" w:type="dxa"/>
            <w:vAlign w:val="center"/>
          </w:tcPr>
          <w:p>
            <w:pPr>
              <w:jc w:val="center"/>
              <w:rPr>
                <w:rFonts w:hint="eastAsia" w:ascii="Arial"/>
                <w:sz w:val="21"/>
              </w:rPr>
            </w:pPr>
            <w:r>
              <w:rPr>
                <w:rFonts w:hint="eastAsia" w:ascii="Arial"/>
                <w:sz w:val="21"/>
              </w:rPr>
              <w:t>《中华人民共和国预算法》第十四条：</w:t>
            </w:r>
          </w:p>
          <w:p>
            <w:pPr>
              <w:jc w:val="center"/>
              <w:rPr>
                <w:rFonts w:hint="eastAsia" w:ascii="Arial"/>
                <w:sz w:val="21"/>
              </w:rPr>
            </w:pPr>
            <w:r>
              <w:rPr>
                <w:rFonts w:hint="eastAsia" w:ascii="Arial"/>
                <w:sz w:val="21"/>
              </w:rPr>
              <w:t>“经本级人民代表大会或者本级人民代表大会常务委员会批准的预算、预算调整、决算、预算执行情况的报告及报表，应当在批准后二十日内由本级政府财政部门向社会公开……各部门负责本部门预算、决算的公开。”</w:t>
            </w:r>
          </w:p>
          <w:p>
            <w:pPr>
              <w:jc w:val="center"/>
              <w:rPr>
                <w:rFonts w:hint="eastAsia" w:ascii="Arial"/>
                <w:sz w:val="21"/>
              </w:rPr>
            </w:pPr>
          </w:p>
        </w:tc>
        <w:tc>
          <w:tcPr>
            <w:tcW w:w="1050" w:type="dxa"/>
            <w:vAlign w:val="center"/>
          </w:tcPr>
          <w:p>
            <w:pPr>
              <w:jc w:val="center"/>
              <w:rPr>
                <w:rFonts w:hint="eastAsia" w:ascii="Arial"/>
                <w:sz w:val="21"/>
              </w:rPr>
            </w:pPr>
            <w:r>
              <w:rPr>
                <w:rFonts w:hint="eastAsia" w:ascii="Arial"/>
                <w:sz w:val="21"/>
              </w:rPr>
              <w:t>行政法规</w:t>
            </w:r>
          </w:p>
        </w:tc>
        <w:tc>
          <w:tcPr>
            <w:tcW w:w="735" w:type="dxa"/>
            <w:vAlign w:val="center"/>
          </w:tcPr>
          <w:p>
            <w:pPr>
              <w:jc w:val="center"/>
              <w:rPr>
                <w:rFonts w:hint="eastAsia" w:ascii="Arial"/>
                <w:sz w:val="21"/>
              </w:rPr>
            </w:pPr>
            <w:r>
              <w:rPr>
                <w:rFonts w:hint="eastAsia" w:ascii="Arial"/>
                <w:sz w:val="21"/>
              </w:rPr>
              <w:t>本级政府财政部门批复后20日内</w:t>
            </w:r>
          </w:p>
        </w:tc>
        <w:tc>
          <w:tcPr>
            <w:tcW w:w="885" w:type="dxa"/>
            <w:shd w:val="clear" w:color="auto" w:fill="auto"/>
            <w:vAlign w:val="center"/>
          </w:tcPr>
          <w:p>
            <w:pPr>
              <w:jc w:val="center"/>
              <w:rPr>
                <w:rFonts w:hint="eastAsia" w:eastAsia="宋体"/>
                <w:sz w:val="21"/>
                <w:lang w:val="en-US" w:eastAsia="zh-CN"/>
              </w:rPr>
            </w:pPr>
            <w:r>
              <w:rPr>
                <w:rFonts w:hint="eastAsia" w:eastAsia="宋体"/>
                <w:sz w:val="21"/>
                <w:lang w:val="en-US" w:eastAsia="zh-CN"/>
              </w:rPr>
              <w:t>昆区</w:t>
            </w:r>
            <w:r>
              <w:rPr>
                <w:rFonts w:hint="eastAsia" w:ascii="Arial"/>
                <w:sz w:val="21"/>
              </w:rPr>
              <w:t>财政局</w:t>
            </w:r>
          </w:p>
        </w:tc>
        <w:tc>
          <w:tcPr>
            <w:tcW w:w="1155" w:type="dxa"/>
            <w:shd w:val="clear" w:color="auto" w:fill="auto"/>
            <w:vAlign w:val="center"/>
          </w:tcPr>
          <w:p>
            <w:pPr>
              <w:jc w:val="center"/>
              <w:rPr>
                <w:rFonts w:hint="eastAsia" w:ascii="Arial" w:eastAsia="宋体"/>
                <w:sz w:val="21"/>
                <w:lang w:eastAsia="zh-CN"/>
              </w:rPr>
            </w:pPr>
            <w:r>
              <w:rPr>
                <w:rFonts w:hint="eastAsia" w:ascii="Arial" w:eastAsia="宋体"/>
                <w:sz w:val="21"/>
                <w:lang w:eastAsia="zh-CN"/>
              </w:rPr>
              <w:t>法定公开</w:t>
            </w:r>
          </w:p>
        </w:tc>
        <w:tc>
          <w:tcPr>
            <w:tcW w:w="960" w:type="dxa"/>
            <w:shd w:val="clear" w:color="auto" w:fill="auto"/>
            <w:vAlign w:val="center"/>
          </w:tcPr>
          <w:p>
            <w:pPr>
              <w:jc w:val="center"/>
              <w:rPr>
                <w:rFonts w:hint="eastAsia" w:eastAsia="宋体"/>
                <w:sz w:val="21"/>
                <w:lang w:val="en-US" w:eastAsia="zh-CN"/>
              </w:rPr>
            </w:pPr>
            <w:r>
              <w:rPr>
                <w:rFonts w:hint="eastAsia" w:eastAsia="宋体"/>
                <w:sz w:val="21"/>
                <w:lang w:val="en-US" w:eastAsia="zh-CN"/>
              </w:rPr>
              <w:t>内蒙古自治区财政预决算公开平台</w:t>
            </w:r>
          </w:p>
        </w:tc>
        <w:tc>
          <w:tcPr>
            <w:tcW w:w="780" w:type="dxa"/>
            <w:shd w:val="clear" w:color="auto" w:fill="auto"/>
            <w:vAlign w:val="center"/>
          </w:tcPr>
          <w:p>
            <w:pPr>
              <w:jc w:val="center"/>
              <w:rPr>
                <w:rFonts w:hint="eastAsia" w:ascii="Arial"/>
                <w:sz w:val="21"/>
              </w:rPr>
            </w:pPr>
            <w:r>
              <w:rPr>
                <w:rFonts w:hint="eastAsia" w:ascii="Arial"/>
                <w:sz w:val="21"/>
              </w:rPr>
              <w:t>全社会</w:t>
            </w:r>
          </w:p>
        </w:tc>
        <w:tc>
          <w:tcPr>
            <w:tcW w:w="735" w:type="dxa"/>
            <w:shd w:val="clear" w:color="auto" w:fill="auto"/>
            <w:vAlign w:val="center"/>
          </w:tcPr>
          <w:p>
            <w:pPr>
              <w:jc w:val="center"/>
              <w:rPr>
                <w:rFonts w:hint="default" w:ascii="Arial" w:eastAsia="宋体"/>
                <w:sz w:val="21"/>
                <w:lang w:val="en-US" w:eastAsia="zh-CN"/>
              </w:rPr>
            </w:pPr>
            <w:r>
              <w:rPr>
                <w:rFonts w:hint="eastAsia" w:eastAsia="宋体"/>
                <w:sz w:val="21"/>
                <w:lang w:val="en-US" w:eastAsia="zh-CN"/>
              </w:rPr>
              <w:t>办公室</w:t>
            </w:r>
          </w:p>
        </w:tc>
        <w:tc>
          <w:tcPr>
            <w:tcW w:w="585" w:type="dxa"/>
            <w:shd w:val="clear" w:color="auto" w:fill="auto"/>
            <w:vAlign w:val="center"/>
          </w:tcPr>
          <w:p>
            <w:pPr>
              <w:jc w:val="center"/>
              <w:rPr>
                <w:rFonts w:hint="eastAsia" w:eastAsia="宋体"/>
                <w:sz w:val="21"/>
                <w:lang w:val="en-US" w:eastAsia="zh-CN"/>
              </w:rPr>
            </w:pPr>
          </w:p>
        </w:tc>
        <w:tc>
          <w:tcPr>
            <w:tcW w:w="1020" w:type="dxa"/>
            <w:vAlign w:val="center"/>
          </w:tcPr>
          <w:p>
            <w:pPr>
              <w:jc w:val="center"/>
              <w:rPr>
                <w:rFonts w:hint="eastAsia"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846" w:type="dxa"/>
            <w:vMerge w:val="restart"/>
            <w:vAlign w:val="center"/>
          </w:tcPr>
          <w:p>
            <w:pPr>
              <w:jc w:val="center"/>
              <w:rPr>
                <w:rFonts w:hint="eastAsia" w:ascii="Arial"/>
                <w:sz w:val="21"/>
              </w:rPr>
            </w:pPr>
            <w:r>
              <w:rPr>
                <w:rFonts w:hint="eastAsia" w:ascii="Arial"/>
                <w:sz w:val="21"/>
              </w:rPr>
              <w:t>政府采购</w:t>
            </w:r>
          </w:p>
        </w:tc>
        <w:tc>
          <w:tcPr>
            <w:tcW w:w="773" w:type="dxa"/>
            <w:vAlign w:val="center"/>
          </w:tcPr>
          <w:p>
            <w:pPr>
              <w:jc w:val="center"/>
              <w:rPr>
                <w:rFonts w:hint="eastAsia" w:ascii="Arial"/>
                <w:sz w:val="21"/>
                <w:lang w:val="en-US" w:eastAsia="zh-CN"/>
              </w:rPr>
            </w:pPr>
            <w:r>
              <w:rPr>
                <w:rFonts w:hint="eastAsia" w:ascii="Arial"/>
                <w:sz w:val="21"/>
                <w:lang w:val="en-US" w:eastAsia="zh-CN"/>
              </w:rPr>
              <w:t>政府集中采购目录、采购限额标准</w:t>
            </w:r>
          </w:p>
        </w:tc>
        <w:tc>
          <w:tcPr>
            <w:tcW w:w="870" w:type="dxa"/>
            <w:vAlign w:val="center"/>
          </w:tcPr>
          <w:p>
            <w:pPr>
              <w:jc w:val="both"/>
              <w:rPr>
                <w:rFonts w:hint="eastAsia" w:ascii="Arial"/>
                <w:sz w:val="21"/>
              </w:rPr>
            </w:pPr>
          </w:p>
        </w:tc>
        <w:tc>
          <w:tcPr>
            <w:tcW w:w="5535" w:type="dxa"/>
            <w:vAlign w:val="center"/>
          </w:tcPr>
          <w:p>
            <w:pPr>
              <w:jc w:val="both"/>
              <w:rPr>
                <w:rFonts w:hint="eastAsia" w:ascii="Arial"/>
                <w:sz w:val="21"/>
                <w:lang w:val="en-US" w:eastAsia="zh-CN"/>
              </w:rPr>
            </w:pPr>
            <w:r>
              <w:rPr>
                <w:rFonts w:hint="eastAsia" w:ascii="Arial"/>
                <w:sz w:val="21"/>
                <w:lang w:val="en-US" w:eastAsia="zh-CN"/>
              </w:rPr>
              <w:t>自治区统一政府集中采购目录、采购限额标准</w:t>
            </w:r>
          </w:p>
        </w:tc>
        <w:tc>
          <w:tcPr>
            <w:tcW w:w="1950" w:type="dxa"/>
            <w:vAlign w:val="center"/>
          </w:tcPr>
          <w:p>
            <w:pPr>
              <w:jc w:val="center"/>
              <w:rPr>
                <w:rFonts w:hint="eastAsia" w:ascii="Arial"/>
                <w:sz w:val="21"/>
              </w:rPr>
            </w:pPr>
            <w:r>
              <w:rPr>
                <w:rFonts w:hint="eastAsia" w:ascii="Arial"/>
                <w:sz w:val="21"/>
              </w:rPr>
              <w:t>《中华人民共和国政府采购法》</w:t>
            </w:r>
          </w:p>
        </w:tc>
        <w:tc>
          <w:tcPr>
            <w:tcW w:w="3990" w:type="dxa"/>
            <w:vAlign w:val="center"/>
          </w:tcPr>
          <w:p>
            <w:pPr>
              <w:jc w:val="both"/>
              <w:rPr>
                <w:rFonts w:hint="eastAsia" w:ascii="Arial"/>
                <w:sz w:val="21"/>
              </w:rPr>
            </w:pPr>
            <w:r>
              <w:rPr>
                <w:rFonts w:hint="eastAsia" w:ascii="Arial"/>
                <w:sz w:val="21"/>
              </w:rPr>
              <w:t>第七条 政府采购实行集中采购和分散采购相结合。集中采购的范围由省级以上人民政府公布的集中采购目录确定。…属于地方预算的政府采购项目，其集中采购目录由省、自治区、直辖市人民政府或者其授权的机构确定并公布。</w:t>
            </w:r>
          </w:p>
          <w:p>
            <w:pPr>
              <w:jc w:val="both"/>
              <w:rPr>
                <w:rFonts w:hint="eastAsia" w:ascii="Arial"/>
                <w:sz w:val="21"/>
              </w:rPr>
            </w:pPr>
            <w:r>
              <w:rPr>
                <w:rFonts w:hint="eastAsia" w:ascii="Arial"/>
                <w:sz w:val="21"/>
              </w:rPr>
              <w:t>第八条 政府采购限额标准，…属于地方预算的政府采购项目，由省、自治区、直辖市人民政府或者其授权的机构确定并公布。</w:t>
            </w:r>
          </w:p>
        </w:tc>
        <w:tc>
          <w:tcPr>
            <w:tcW w:w="1050" w:type="dxa"/>
            <w:vAlign w:val="center"/>
          </w:tcPr>
          <w:p>
            <w:pPr>
              <w:jc w:val="center"/>
              <w:rPr>
                <w:rFonts w:hint="eastAsia" w:ascii="Arial"/>
                <w:sz w:val="21"/>
              </w:rPr>
            </w:pPr>
            <w:r>
              <w:rPr>
                <w:rFonts w:hint="eastAsia" w:ascii="Arial"/>
                <w:sz w:val="21"/>
              </w:rPr>
              <w:t>法律</w:t>
            </w:r>
          </w:p>
        </w:tc>
        <w:tc>
          <w:tcPr>
            <w:tcW w:w="735" w:type="dxa"/>
            <w:vAlign w:val="center"/>
          </w:tcPr>
          <w:p>
            <w:pPr>
              <w:jc w:val="center"/>
              <w:rPr>
                <w:rFonts w:hint="eastAsia" w:ascii="Arial"/>
                <w:sz w:val="21"/>
              </w:rPr>
            </w:pPr>
            <w:r>
              <w:rPr>
                <w:rFonts w:hint="eastAsia" w:ascii="Arial"/>
                <w:sz w:val="21"/>
              </w:rPr>
              <w:t>根据主动公开文件公开时限发布</w:t>
            </w:r>
          </w:p>
        </w:tc>
        <w:tc>
          <w:tcPr>
            <w:tcW w:w="885" w:type="dxa"/>
            <w:vMerge w:val="restart"/>
            <w:shd w:val="clear" w:color="auto" w:fill="auto"/>
            <w:vAlign w:val="center"/>
          </w:tcPr>
          <w:p>
            <w:pPr>
              <w:jc w:val="center"/>
              <w:rPr>
                <w:rFonts w:hint="eastAsia" w:eastAsia="宋体"/>
                <w:sz w:val="21"/>
                <w:lang w:val="en-US" w:eastAsia="zh-CN"/>
              </w:rPr>
            </w:pPr>
            <w:r>
              <w:rPr>
                <w:rFonts w:hint="eastAsia" w:eastAsia="宋体"/>
                <w:sz w:val="21"/>
                <w:lang w:val="en-US" w:eastAsia="zh-CN"/>
              </w:rPr>
              <w:t>昆区</w:t>
            </w:r>
            <w:r>
              <w:rPr>
                <w:rFonts w:hint="eastAsia" w:ascii="Arial"/>
                <w:sz w:val="21"/>
              </w:rPr>
              <w:t>财政局</w:t>
            </w:r>
          </w:p>
        </w:tc>
        <w:tc>
          <w:tcPr>
            <w:tcW w:w="1155" w:type="dxa"/>
            <w:shd w:val="clear" w:color="auto" w:fill="auto"/>
            <w:vAlign w:val="center"/>
          </w:tcPr>
          <w:p>
            <w:pPr>
              <w:jc w:val="center"/>
              <w:rPr>
                <w:rFonts w:hint="eastAsia" w:ascii="Arial" w:eastAsia="宋体"/>
                <w:sz w:val="21"/>
                <w:lang w:eastAsia="zh-CN"/>
              </w:rPr>
            </w:pPr>
            <w:r>
              <w:rPr>
                <w:rFonts w:hint="eastAsia" w:ascii="Arial" w:eastAsia="宋体"/>
                <w:sz w:val="21"/>
                <w:lang w:eastAsia="zh-CN"/>
              </w:rPr>
              <w:t>法定公开</w:t>
            </w:r>
          </w:p>
        </w:tc>
        <w:tc>
          <w:tcPr>
            <w:tcW w:w="960" w:type="dxa"/>
            <w:vMerge w:val="restart"/>
            <w:shd w:val="clear" w:color="auto" w:fill="auto"/>
            <w:vAlign w:val="center"/>
          </w:tcPr>
          <w:p>
            <w:pPr>
              <w:jc w:val="center"/>
              <w:rPr>
                <w:rFonts w:hint="eastAsia" w:eastAsia="宋体"/>
                <w:sz w:val="21"/>
                <w:lang w:val="en-US" w:eastAsia="zh-CN"/>
              </w:rPr>
            </w:pPr>
            <w:r>
              <w:rPr>
                <w:rFonts w:hint="eastAsia" w:eastAsia="宋体"/>
                <w:sz w:val="21"/>
                <w:lang w:val="en-US" w:eastAsia="zh-CN"/>
              </w:rPr>
              <w:t>中国政府采购网内蒙古分网（内蒙古自治区政府采购网）</w:t>
            </w:r>
          </w:p>
        </w:tc>
        <w:tc>
          <w:tcPr>
            <w:tcW w:w="780" w:type="dxa"/>
            <w:vMerge w:val="restart"/>
            <w:shd w:val="clear" w:color="auto" w:fill="auto"/>
            <w:vAlign w:val="center"/>
          </w:tcPr>
          <w:p>
            <w:pPr>
              <w:jc w:val="center"/>
              <w:rPr>
                <w:rFonts w:hint="default" w:ascii="Arial" w:eastAsia="宋体"/>
                <w:sz w:val="21"/>
                <w:lang w:val="en-US" w:eastAsia="zh-CN"/>
              </w:rPr>
            </w:pPr>
            <w:r>
              <w:rPr>
                <w:rFonts w:hint="eastAsia" w:ascii="Arial"/>
                <w:sz w:val="21"/>
              </w:rPr>
              <w:t>全社会</w:t>
            </w:r>
          </w:p>
        </w:tc>
        <w:tc>
          <w:tcPr>
            <w:tcW w:w="735" w:type="dxa"/>
            <w:shd w:val="clear" w:color="auto" w:fill="auto"/>
            <w:vAlign w:val="center"/>
          </w:tcPr>
          <w:p>
            <w:pPr>
              <w:jc w:val="center"/>
              <w:rPr>
                <w:rFonts w:hint="default" w:eastAsia="宋体"/>
                <w:sz w:val="21"/>
                <w:lang w:val="en-US" w:eastAsia="zh-CN"/>
              </w:rPr>
            </w:pPr>
          </w:p>
        </w:tc>
        <w:tc>
          <w:tcPr>
            <w:tcW w:w="585" w:type="dxa"/>
            <w:vMerge w:val="restart"/>
            <w:shd w:val="clear" w:color="auto" w:fill="auto"/>
            <w:vAlign w:val="center"/>
          </w:tcPr>
          <w:p>
            <w:pPr>
              <w:jc w:val="center"/>
              <w:rPr>
                <w:rFonts w:hint="eastAsia" w:eastAsia="宋体"/>
                <w:sz w:val="21"/>
                <w:lang w:val="en-US" w:eastAsia="zh-CN"/>
              </w:rPr>
            </w:pPr>
            <w:r>
              <w:rPr>
                <w:rFonts w:hint="eastAsia" w:eastAsia="宋体"/>
                <w:sz w:val="21"/>
                <w:lang w:val="en-US" w:eastAsia="zh-CN"/>
              </w:rPr>
              <w:t>采购办</w:t>
            </w:r>
          </w:p>
        </w:tc>
        <w:tc>
          <w:tcPr>
            <w:tcW w:w="1020" w:type="dxa"/>
            <w:vAlign w:val="center"/>
          </w:tcPr>
          <w:p>
            <w:pPr>
              <w:jc w:val="center"/>
              <w:rPr>
                <w:rFonts w:hint="eastAsia" w:ascii="Arial"/>
                <w:sz w:val="21"/>
              </w:rPr>
            </w:pPr>
            <w:r>
              <w:rPr>
                <w:rFonts w:hint="eastAsia" w:ascii="Arial"/>
                <w:sz w:val="21"/>
              </w:rPr>
              <w:t>主动公开自治区统一集采目录，加强相关政策宣传。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846" w:type="dxa"/>
            <w:vMerge w:val="continue"/>
            <w:vAlign w:val="center"/>
          </w:tcPr>
          <w:p>
            <w:pPr>
              <w:jc w:val="center"/>
              <w:rPr>
                <w:rFonts w:hint="eastAsia" w:ascii="Arial"/>
                <w:sz w:val="21"/>
              </w:rPr>
            </w:pPr>
          </w:p>
        </w:tc>
        <w:tc>
          <w:tcPr>
            <w:tcW w:w="773" w:type="dxa"/>
            <w:vAlign w:val="center"/>
          </w:tcPr>
          <w:p>
            <w:pPr>
              <w:jc w:val="center"/>
              <w:rPr>
                <w:rFonts w:hint="eastAsia" w:ascii="Arial"/>
                <w:sz w:val="21"/>
                <w:lang w:val="en-US" w:eastAsia="zh-CN"/>
              </w:rPr>
            </w:pPr>
            <w:r>
              <w:rPr>
                <w:rFonts w:hint="eastAsia" w:ascii="Arial"/>
                <w:sz w:val="21"/>
                <w:lang w:val="en-US" w:eastAsia="zh-CN"/>
              </w:rPr>
              <w:t>政府采购代理机构名录</w:t>
            </w:r>
          </w:p>
        </w:tc>
        <w:tc>
          <w:tcPr>
            <w:tcW w:w="870" w:type="dxa"/>
            <w:vAlign w:val="center"/>
          </w:tcPr>
          <w:p>
            <w:pPr>
              <w:jc w:val="both"/>
              <w:rPr>
                <w:rFonts w:hint="eastAsia" w:ascii="Arial"/>
                <w:sz w:val="21"/>
              </w:rPr>
            </w:pPr>
          </w:p>
        </w:tc>
        <w:tc>
          <w:tcPr>
            <w:tcW w:w="5535" w:type="dxa"/>
            <w:vAlign w:val="center"/>
          </w:tcPr>
          <w:p>
            <w:pPr>
              <w:jc w:val="both"/>
              <w:rPr>
                <w:rFonts w:hint="eastAsia" w:ascii="Arial"/>
                <w:sz w:val="21"/>
                <w:lang w:val="en-US" w:eastAsia="zh-CN"/>
              </w:rPr>
            </w:pPr>
            <w:r>
              <w:rPr>
                <w:rFonts w:hint="eastAsia" w:ascii="Arial"/>
                <w:sz w:val="21"/>
                <w:lang w:val="en-US" w:eastAsia="zh-CN"/>
              </w:rPr>
              <w:t>本地区政府采购代理机构名录</w:t>
            </w:r>
          </w:p>
        </w:tc>
        <w:tc>
          <w:tcPr>
            <w:tcW w:w="1950" w:type="dxa"/>
            <w:vAlign w:val="center"/>
          </w:tcPr>
          <w:p>
            <w:pPr>
              <w:jc w:val="center"/>
              <w:rPr>
                <w:rFonts w:hint="eastAsia" w:ascii="Arial"/>
                <w:sz w:val="21"/>
              </w:rPr>
            </w:pPr>
            <w:r>
              <w:rPr>
                <w:rFonts w:hint="eastAsia" w:ascii="Arial"/>
                <w:sz w:val="21"/>
              </w:rPr>
              <w:t>财政部关于印发《政府采购代理机构管理暂行办法》的通知</w:t>
            </w:r>
          </w:p>
        </w:tc>
        <w:tc>
          <w:tcPr>
            <w:tcW w:w="3990" w:type="dxa"/>
            <w:vAlign w:val="center"/>
          </w:tcPr>
          <w:p>
            <w:pPr>
              <w:jc w:val="both"/>
              <w:rPr>
                <w:rFonts w:hint="eastAsia" w:ascii="Arial"/>
                <w:sz w:val="21"/>
              </w:rPr>
            </w:pPr>
            <w:r>
              <w:rPr>
                <w:rFonts w:hint="eastAsia" w:ascii="Arial"/>
                <w:sz w:val="21"/>
              </w:rPr>
              <w:t>第六条 代理机构实行名录登记管理。省级财政部门依托中国政府采购网省级分网建立政府采购代理机构名录。名录信息全国共享并向社会公开。</w:t>
            </w:r>
          </w:p>
        </w:tc>
        <w:tc>
          <w:tcPr>
            <w:tcW w:w="1050" w:type="dxa"/>
            <w:vAlign w:val="center"/>
          </w:tcPr>
          <w:p>
            <w:pPr>
              <w:jc w:val="center"/>
              <w:rPr>
                <w:rFonts w:hint="eastAsia" w:ascii="Arial"/>
                <w:sz w:val="21"/>
              </w:rPr>
            </w:pPr>
            <w:r>
              <w:rPr>
                <w:rFonts w:hint="eastAsia" w:ascii="Arial"/>
                <w:sz w:val="21"/>
              </w:rPr>
              <w:t>行政法规</w:t>
            </w:r>
          </w:p>
        </w:tc>
        <w:tc>
          <w:tcPr>
            <w:tcW w:w="735" w:type="dxa"/>
            <w:vAlign w:val="center"/>
          </w:tcPr>
          <w:p>
            <w:pPr>
              <w:jc w:val="center"/>
              <w:rPr>
                <w:rFonts w:hint="eastAsia" w:ascii="Arial"/>
                <w:sz w:val="21"/>
              </w:rPr>
            </w:pPr>
            <w:r>
              <w:rPr>
                <w:rFonts w:hint="eastAsia" w:ascii="Arial"/>
                <w:sz w:val="21"/>
              </w:rPr>
              <w:t>实时更新</w:t>
            </w:r>
          </w:p>
        </w:tc>
        <w:tc>
          <w:tcPr>
            <w:tcW w:w="885" w:type="dxa"/>
            <w:vMerge w:val="continue"/>
            <w:shd w:val="clear" w:color="auto" w:fill="auto"/>
            <w:vAlign w:val="center"/>
          </w:tcPr>
          <w:p>
            <w:pPr>
              <w:jc w:val="center"/>
              <w:rPr>
                <w:rFonts w:hint="eastAsia" w:eastAsia="宋体"/>
                <w:sz w:val="21"/>
                <w:lang w:val="en-US" w:eastAsia="zh-CN"/>
              </w:rPr>
            </w:pPr>
          </w:p>
        </w:tc>
        <w:tc>
          <w:tcPr>
            <w:tcW w:w="1155" w:type="dxa"/>
            <w:shd w:val="clear" w:color="auto" w:fill="auto"/>
            <w:vAlign w:val="center"/>
          </w:tcPr>
          <w:p>
            <w:pPr>
              <w:jc w:val="center"/>
              <w:rPr>
                <w:rFonts w:hint="eastAsia" w:ascii="Arial" w:eastAsia="宋体"/>
                <w:sz w:val="21"/>
                <w:lang w:eastAsia="zh-CN"/>
              </w:rPr>
            </w:pPr>
            <w:r>
              <w:rPr>
                <w:rFonts w:hint="eastAsia" w:ascii="Arial" w:eastAsia="宋体"/>
                <w:sz w:val="21"/>
                <w:lang w:eastAsia="zh-CN"/>
              </w:rPr>
              <w:t xml:space="preserve">其他 </w:t>
            </w:r>
          </w:p>
        </w:tc>
        <w:tc>
          <w:tcPr>
            <w:tcW w:w="960" w:type="dxa"/>
            <w:vMerge w:val="continue"/>
            <w:shd w:val="clear" w:color="auto" w:fill="auto"/>
            <w:vAlign w:val="center"/>
          </w:tcPr>
          <w:p>
            <w:pPr>
              <w:jc w:val="center"/>
              <w:rPr>
                <w:rFonts w:hint="eastAsia" w:eastAsia="宋体"/>
                <w:sz w:val="21"/>
                <w:lang w:val="en-US" w:eastAsia="zh-CN"/>
              </w:rPr>
            </w:pPr>
          </w:p>
        </w:tc>
        <w:tc>
          <w:tcPr>
            <w:tcW w:w="780" w:type="dxa"/>
            <w:vMerge w:val="continue"/>
            <w:shd w:val="clear" w:color="auto" w:fill="auto"/>
            <w:vAlign w:val="center"/>
          </w:tcPr>
          <w:p>
            <w:pPr>
              <w:jc w:val="center"/>
              <w:rPr>
                <w:rFonts w:hint="eastAsia" w:ascii="Arial"/>
                <w:sz w:val="21"/>
              </w:rPr>
            </w:pPr>
          </w:p>
        </w:tc>
        <w:tc>
          <w:tcPr>
            <w:tcW w:w="735" w:type="dxa"/>
            <w:shd w:val="clear" w:color="auto" w:fill="auto"/>
            <w:vAlign w:val="center"/>
          </w:tcPr>
          <w:p>
            <w:pPr>
              <w:jc w:val="center"/>
              <w:rPr>
                <w:rFonts w:hint="eastAsia" w:eastAsia="宋体"/>
                <w:sz w:val="21"/>
                <w:lang w:val="en-US" w:eastAsia="zh-CN"/>
              </w:rPr>
            </w:pPr>
          </w:p>
        </w:tc>
        <w:tc>
          <w:tcPr>
            <w:tcW w:w="585" w:type="dxa"/>
            <w:vMerge w:val="continue"/>
            <w:shd w:val="clear" w:color="auto" w:fill="auto"/>
            <w:vAlign w:val="center"/>
          </w:tcPr>
          <w:p>
            <w:pPr>
              <w:jc w:val="center"/>
              <w:rPr>
                <w:rFonts w:hint="eastAsia" w:eastAsia="宋体"/>
                <w:sz w:val="21"/>
                <w:lang w:val="en-US" w:eastAsia="zh-CN"/>
              </w:rPr>
            </w:pPr>
          </w:p>
        </w:tc>
        <w:tc>
          <w:tcPr>
            <w:tcW w:w="1020" w:type="dxa"/>
            <w:vAlign w:val="center"/>
          </w:tcPr>
          <w:p>
            <w:pPr>
              <w:jc w:val="center"/>
              <w:rPr>
                <w:rFonts w:hint="eastAsia"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846" w:type="dxa"/>
            <w:vMerge w:val="continue"/>
            <w:vAlign w:val="center"/>
          </w:tcPr>
          <w:p>
            <w:pPr>
              <w:jc w:val="center"/>
              <w:rPr>
                <w:rFonts w:hint="eastAsia" w:ascii="Arial"/>
                <w:sz w:val="21"/>
              </w:rPr>
            </w:pPr>
          </w:p>
        </w:tc>
        <w:tc>
          <w:tcPr>
            <w:tcW w:w="773" w:type="dxa"/>
            <w:vAlign w:val="center"/>
          </w:tcPr>
          <w:p>
            <w:pPr>
              <w:jc w:val="center"/>
              <w:rPr>
                <w:rFonts w:hint="eastAsia" w:ascii="Arial"/>
                <w:sz w:val="21"/>
                <w:lang w:val="en-US" w:eastAsia="zh-CN"/>
              </w:rPr>
            </w:pPr>
            <w:r>
              <w:rPr>
                <w:rFonts w:hint="eastAsia" w:ascii="Arial"/>
                <w:sz w:val="21"/>
                <w:lang w:val="en-US" w:eastAsia="zh-CN"/>
              </w:rPr>
              <w:t>政府采购信息</w:t>
            </w:r>
          </w:p>
        </w:tc>
        <w:tc>
          <w:tcPr>
            <w:tcW w:w="870" w:type="dxa"/>
            <w:vAlign w:val="center"/>
          </w:tcPr>
          <w:p>
            <w:pPr>
              <w:jc w:val="both"/>
              <w:rPr>
                <w:rFonts w:hint="eastAsia" w:ascii="Arial"/>
                <w:sz w:val="21"/>
              </w:rPr>
            </w:pPr>
          </w:p>
        </w:tc>
        <w:tc>
          <w:tcPr>
            <w:tcW w:w="5535" w:type="dxa"/>
            <w:vAlign w:val="center"/>
          </w:tcPr>
          <w:p>
            <w:pPr>
              <w:jc w:val="both"/>
              <w:rPr>
                <w:rFonts w:hint="eastAsia" w:ascii="Arial"/>
                <w:sz w:val="21"/>
                <w:lang w:val="en-US" w:eastAsia="zh-CN"/>
              </w:rPr>
            </w:pPr>
            <w:r>
              <w:rPr>
                <w:rFonts w:hint="eastAsia" w:ascii="Arial"/>
                <w:sz w:val="21"/>
                <w:lang w:val="en-US" w:eastAsia="zh-CN"/>
              </w:rPr>
              <w:t>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p>
        </w:tc>
        <w:tc>
          <w:tcPr>
            <w:tcW w:w="1950" w:type="dxa"/>
            <w:vAlign w:val="center"/>
          </w:tcPr>
          <w:p>
            <w:pPr>
              <w:jc w:val="center"/>
              <w:rPr>
                <w:rFonts w:hint="eastAsia" w:ascii="Arial"/>
                <w:sz w:val="21"/>
              </w:rPr>
            </w:pPr>
            <w:r>
              <w:rPr>
                <w:rFonts w:hint="eastAsia" w:ascii="Arial"/>
                <w:sz w:val="21"/>
              </w:rPr>
              <w:t>《中华人民共和国政府采购法》</w:t>
            </w:r>
          </w:p>
        </w:tc>
        <w:tc>
          <w:tcPr>
            <w:tcW w:w="3990" w:type="dxa"/>
            <w:vAlign w:val="center"/>
          </w:tcPr>
          <w:p>
            <w:pPr>
              <w:jc w:val="both"/>
              <w:rPr>
                <w:rFonts w:hint="eastAsia" w:ascii="Arial"/>
                <w:sz w:val="21"/>
              </w:rPr>
            </w:pPr>
            <w:r>
              <w:rPr>
                <w:rFonts w:hint="eastAsia" w:ascii="Arial"/>
                <w:sz w:val="21"/>
              </w:rPr>
              <w:t>第十一条 政府采购的信息应当在政府采购监督管理部门指定的媒体上及时向社会公开发布，但涉及商业秘密的除外。</w:t>
            </w:r>
          </w:p>
        </w:tc>
        <w:tc>
          <w:tcPr>
            <w:tcW w:w="1050" w:type="dxa"/>
            <w:vAlign w:val="center"/>
          </w:tcPr>
          <w:p>
            <w:pPr>
              <w:jc w:val="center"/>
              <w:rPr>
                <w:rFonts w:hint="eastAsia" w:ascii="Arial"/>
                <w:sz w:val="21"/>
              </w:rPr>
            </w:pPr>
            <w:r>
              <w:rPr>
                <w:rFonts w:hint="eastAsia" w:ascii="Arial"/>
                <w:sz w:val="21"/>
              </w:rPr>
              <w:t>法律</w:t>
            </w:r>
          </w:p>
        </w:tc>
        <w:tc>
          <w:tcPr>
            <w:tcW w:w="735" w:type="dxa"/>
            <w:vAlign w:val="center"/>
          </w:tcPr>
          <w:p>
            <w:pPr>
              <w:jc w:val="center"/>
              <w:rPr>
                <w:rFonts w:hint="eastAsia" w:ascii="Arial"/>
                <w:sz w:val="21"/>
              </w:rPr>
            </w:pPr>
            <w:r>
              <w:rPr>
                <w:rFonts w:hint="eastAsia" w:ascii="Arial"/>
                <w:sz w:val="21"/>
              </w:rPr>
              <w:t>自收到政府采购信息起1个工作日内发布。</w:t>
            </w:r>
          </w:p>
        </w:tc>
        <w:tc>
          <w:tcPr>
            <w:tcW w:w="885" w:type="dxa"/>
            <w:vMerge w:val="continue"/>
            <w:shd w:val="clear" w:color="auto" w:fill="auto"/>
            <w:vAlign w:val="center"/>
          </w:tcPr>
          <w:p>
            <w:pPr>
              <w:jc w:val="center"/>
              <w:rPr>
                <w:rFonts w:hint="eastAsia" w:eastAsia="宋体"/>
                <w:sz w:val="21"/>
                <w:lang w:val="en-US" w:eastAsia="zh-CN"/>
              </w:rPr>
            </w:pPr>
          </w:p>
        </w:tc>
        <w:tc>
          <w:tcPr>
            <w:tcW w:w="1155" w:type="dxa"/>
            <w:shd w:val="clear" w:color="auto" w:fill="auto"/>
            <w:vAlign w:val="center"/>
          </w:tcPr>
          <w:p>
            <w:pPr>
              <w:jc w:val="center"/>
              <w:rPr>
                <w:rFonts w:hint="eastAsia" w:ascii="Arial" w:eastAsia="宋体"/>
                <w:sz w:val="21"/>
                <w:lang w:eastAsia="zh-CN"/>
              </w:rPr>
            </w:pPr>
            <w:r>
              <w:rPr>
                <w:rFonts w:hint="eastAsia" w:ascii="Arial" w:eastAsia="宋体"/>
                <w:sz w:val="21"/>
                <w:lang w:eastAsia="zh-CN"/>
              </w:rPr>
              <w:t>法定公开</w:t>
            </w:r>
          </w:p>
        </w:tc>
        <w:tc>
          <w:tcPr>
            <w:tcW w:w="960" w:type="dxa"/>
            <w:vMerge w:val="continue"/>
            <w:shd w:val="clear" w:color="auto" w:fill="auto"/>
            <w:vAlign w:val="center"/>
          </w:tcPr>
          <w:p>
            <w:pPr>
              <w:jc w:val="center"/>
              <w:rPr>
                <w:rFonts w:hint="eastAsia" w:eastAsia="宋体"/>
                <w:sz w:val="21"/>
                <w:lang w:val="en-US" w:eastAsia="zh-CN"/>
              </w:rPr>
            </w:pPr>
          </w:p>
        </w:tc>
        <w:tc>
          <w:tcPr>
            <w:tcW w:w="780" w:type="dxa"/>
            <w:vMerge w:val="continue"/>
            <w:shd w:val="clear" w:color="auto" w:fill="auto"/>
            <w:vAlign w:val="center"/>
          </w:tcPr>
          <w:p>
            <w:pPr>
              <w:jc w:val="center"/>
              <w:rPr>
                <w:rFonts w:hint="eastAsia" w:ascii="Arial"/>
                <w:sz w:val="21"/>
              </w:rPr>
            </w:pPr>
          </w:p>
        </w:tc>
        <w:tc>
          <w:tcPr>
            <w:tcW w:w="735" w:type="dxa"/>
            <w:shd w:val="clear" w:color="auto" w:fill="auto"/>
            <w:vAlign w:val="center"/>
          </w:tcPr>
          <w:p>
            <w:pPr>
              <w:jc w:val="center"/>
              <w:rPr>
                <w:rFonts w:hint="eastAsia" w:eastAsia="宋体"/>
                <w:sz w:val="21"/>
                <w:lang w:val="en-US" w:eastAsia="zh-CN"/>
              </w:rPr>
            </w:pPr>
          </w:p>
        </w:tc>
        <w:tc>
          <w:tcPr>
            <w:tcW w:w="585" w:type="dxa"/>
            <w:vMerge w:val="continue"/>
            <w:shd w:val="clear" w:color="auto" w:fill="auto"/>
            <w:vAlign w:val="center"/>
          </w:tcPr>
          <w:p>
            <w:pPr>
              <w:jc w:val="center"/>
              <w:rPr>
                <w:rFonts w:hint="eastAsia" w:eastAsia="宋体"/>
                <w:sz w:val="21"/>
                <w:lang w:val="en-US" w:eastAsia="zh-CN"/>
              </w:rPr>
            </w:pPr>
          </w:p>
        </w:tc>
        <w:tc>
          <w:tcPr>
            <w:tcW w:w="1020" w:type="dxa"/>
            <w:vAlign w:val="center"/>
          </w:tcPr>
          <w:p>
            <w:pPr>
              <w:jc w:val="center"/>
              <w:rPr>
                <w:rFonts w:hint="eastAsia" w:ascii="Arial"/>
                <w:sz w:val="21"/>
              </w:rPr>
            </w:pPr>
            <w:r>
              <w:rPr>
                <w:rFonts w:hint="eastAsia" w:ascii="Arial"/>
                <w:sz w:val="21"/>
              </w:rPr>
              <w:t>主动公开政府采购有关法律制度规定应予公开的信息。</w:t>
            </w:r>
          </w:p>
        </w:tc>
      </w:tr>
    </w:tbl>
    <w:p>
      <w:pPr>
        <w:spacing w:line="276" w:lineRule="auto"/>
        <w:rPr>
          <w:rFonts w:ascii="Arial"/>
          <w:sz w:val="21"/>
        </w:rPr>
      </w:pPr>
    </w:p>
    <w:p>
      <w:pPr>
        <w:spacing w:before="107" w:line="224" w:lineRule="auto"/>
        <w:ind w:left="389"/>
        <w:rPr>
          <w:rFonts w:hint="eastAsia" w:ascii="仿宋_GB2312" w:hAnsi="仿宋_GB2312" w:eastAsia="仿宋_GB2312" w:cs="仿宋_GB2312"/>
          <w:b w:val="0"/>
          <w:bCs w:val="0"/>
          <w:spacing w:val="27"/>
          <w:sz w:val="32"/>
          <w:szCs w:val="32"/>
        </w:rPr>
      </w:pPr>
    </w:p>
    <w:p>
      <w:pPr>
        <w:spacing w:before="107" w:line="224" w:lineRule="auto"/>
        <w:ind w:left="389"/>
        <w:rPr>
          <w:rFonts w:hint="eastAsia" w:ascii="仿宋_GB2312" w:hAnsi="仿宋_GB2312" w:eastAsia="仿宋_GB2312" w:cs="仿宋_GB2312"/>
          <w:b w:val="0"/>
          <w:bCs w:val="0"/>
          <w:spacing w:val="27"/>
          <w:sz w:val="32"/>
          <w:szCs w:val="32"/>
        </w:rPr>
      </w:pPr>
    </w:p>
    <w:p>
      <w:pPr>
        <w:spacing w:before="107" w:line="224" w:lineRule="auto"/>
        <w:ind w:left="389"/>
        <w:rPr>
          <w:rFonts w:hint="eastAsia" w:ascii="仿宋_GB2312" w:hAnsi="仿宋_GB2312" w:eastAsia="仿宋_GB2312" w:cs="仿宋_GB2312"/>
          <w:b w:val="0"/>
          <w:bCs w:val="0"/>
          <w:spacing w:val="27"/>
          <w:sz w:val="32"/>
          <w:szCs w:val="32"/>
          <w:lang w:val="en-US" w:eastAsia="zh-CN"/>
        </w:rPr>
      </w:pPr>
    </w:p>
    <w:p>
      <w:pPr>
        <w:spacing w:line="262" w:lineRule="auto"/>
        <w:rPr>
          <w:rFonts w:ascii="Arial"/>
          <w:sz w:val="21"/>
        </w:rPr>
      </w:pPr>
    </w:p>
    <w:p>
      <w:pPr>
        <w:spacing w:line="262" w:lineRule="auto"/>
        <w:rPr>
          <w:rFonts w:ascii="Arial"/>
          <w:sz w:val="21"/>
        </w:rPr>
      </w:pPr>
    </w:p>
    <w:p>
      <w:pPr>
        <w:rPr>
          <w:rFonts w:ascii="Arial"/>
          <w:sz w:val="21"/>
        </w:rPr>
      </w:pPr>
    </w:p>
    <w:sectPr>
      <w:headerReference r:id="rId3" w:type="default"/>
      <w:footerReference r:id="rId4" w:type="default"/>
      <w:pgSz w:w="23757" w:h="16783" w:orient="landscape"/>
      <w:pgMar w:top="1514" w:right="1011" w:bottom="1775" w:left="4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6C518E3"/>
    <w:rsid w:val="0EF81B0F"/>
    <w:rsid w:val="15DD78EE"/>
    <w:rsid w:val="172B6EC6"/>
    <w:rsid w:val="26F819C1"/>
    <w:rsid w:val="2A2F4008"/>
    <w:rsid w:val="32A52F33"/>
    <w:rsid w:val="32BD4636"/>
    <w:rsid w:val="350E769E"/>
    <w:rsid w:val="420C2FE8"/>
    <w:rsid w:val="4E606738"/>
    <w:rsid w:val="4F1405B0"/>
    <w:rsid w:val="54AB2231"/>
    <w:rsid w:val="58007E9E"/>
    <w:rsid w:val="5971624F"/>
    <w:rsid w:val="6A375D0D"/>
    <w:rsid w:val="6CC31FF2"/>
    <w:rsid w:val="6EEE376F"/>
    <w:rsid w:val="70CB669B"/>
    <w:rsid w:val="72A83FEB"/>
    <w:rsid w:val="74663411"/>
    <w:rsid w:val="7C450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685</Words>
  <Characters>686</Characters>
  <TotalTime>65</TotalTime>
  <ScaleCrop>false</ScaleCrop>
  <LinksUpToDate>false</LinksUpToDate>
  <CharactersWithSpaces>704</CharactersWithSpaces>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2025-02-11T16:44:00Z</dcterms:created>
  <dc:creator>Kingsoft-PDF</dc:creator>
  <cp:lastModifiedBy>岁月久的酒</cp:lastModifiedBy>
  <cp:lastPrinted>2025-10-28T02:55:12Z</cp:lastPrinted>
  <dcterms:modified xsi:type="dcterms:W3CDTF">2025-10-28T03:53:42Z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2025-02-11T16:44:39Z</vt:filetime>
  </property>
  <property fmtid="{D5CDD505-2E9C-101B-9397-08002B2CF9AE}" pid="4" name="UsrData">
    <vt:lpwstr>67ab0df2e9f72c001f582d12wl</vt:lpwstr>
  </property>
  <property fmtid="{D5CDD505-2E9C-101B-9397-08002B2CF9AE}" pid="5" name="KSOTemplateDocerSaveRecord">
    <vt:lpwstr>eyJoZGlkIjoiYTg1ZGVlMDNjYjk2M2YwZDZhYWQ4YjhlNDcwZmIwZjYiLCJ1c2VySWQiOiI1MTM3MjEwMjEifQ==</vt:lpwstr>
  </property>
  <property fmtid="{D5CDD505-2E9C-101B-9397-08002B2CF9AE}" pid="6" name="KSOProductBuildVer">
    <vt:lpwstr>2052-11.1.0.9584</vt:lpwstr>
  </property>
  <property fmtid="{D5CDD505-2E9C-101B-9397-08002B2CF9AE}" pid="7" name="ICV">
    <vt:lpwstr>00060584313343DB9D10D4101FEDD626_13</vt:lpwstr>
  </property>
</Properties>
</file>