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30"/>
          <w:szCs w:val="30"/>
        </w:rPr>
      </w:pPr>
      <w:r>
        <w:rPr>
          <w:rFonts w:hint="eastAsia" w:ascii="方正小标宋简体" w:hAnsi="仿宋_GB2312" w:eastAsia="方正小标宋简体" w:cs="仿宋_GB2312"/>
          <w:sz w:val="30"/>
          <w:szCs w:val="30"/>
        </w:rPr>
        <w:t>昆区行政处罚信息公示</w:t>
      </w:r>
    </w:p>
    <w:tbl>
      <w:tblPr>
        <w:tblStyle w:val="3"/>
        <w:tblpPr w:leftFromText="180" w:rightFromText="180" w:vertAnchor="text" w:horzAnchor="margin" w:tblpY="162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内蒙古广厦建安工程有限责任公司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）应急罚〔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包钢专案二组004-1号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）应急罚〔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包钢专案二组004-2号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内蒙古广厦建安工程有限责任公司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  <w:t>安全生产规章制度类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</w:rPr>
              <w:t>安全生产培训教育类违法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内蒙古广厦建安工程有限责任公司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违反了《中华人民共和国安全生产法》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第二十一条 第一项、第二项、第五项、第六项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第二十七条第二款；第二十八条第一款；第四十一条第二款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u w:val="none"/>
              </w:rPr>
              <w:t>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依据《中华人民共和国安全生产法》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第九十四条第一款；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第九十七条第二项、第三项、第五项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91150200740132279P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陈志开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对内蒙古广厦建安工程有限责任公司作出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处人民币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壹拾万元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罚款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对陈志开作出处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伍万元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整罚款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昆都仑区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应急管理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行政处罚已执行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昆都仑区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应急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WRmNjVmNDU1ODlmZjhjMTBkZDQzMjVkYjk4MjAifQ=="/>
  </w:docVars>
  <w:rsids>
    <w:rsidRoot w:val="04636146"/>
    <w:rsid w:val="04636146"/>
    <w:rsid w:val="4FB81924"/>
    <w:rsid w:val="51E23A05"/>
    <w:rsid w:val="6C5E4091"/>
    <w:rsid w:val="7892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477</Characters>
  <Lines>0</Lines>
  <Paragraphs>0</Paragraphs>
  <TotalTime>3</TotalTime>
  <ScaleCrop>false</ScaleCrop>
  <LinksUpToDate>false</LinksUpToDate>
  <CharactersWithSpaces>484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2021-09-10T01:16:00Z</dcterms:created>
  <dc:creator>一路向北、</dc:creator>
  <cp:lastModifiedBy>一路向北、</cp:lastModifiedBy>
  <dcterms:modified xsi:type="dcterms:W3CDTF">2022-11-24T03:58:50Z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07A612C47399405AAA8FD38F27734CB4</vt:lpwstr>
  </property>
</Properties>
</file>