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ind w:left="0" w:right="0" w:firstLine="601"/>
        <w:jc w:val="center"/>
        <w:rPr>
          <w:rFonts w:hint="default" w:ascii="Times New Roman" w:hAnsi="Times New Roman" w:eastAsia="仿宋_GB2312" w:cs="Times New Roman"/>
          <w:b/>
          <w:bCs/>
          <w:color w:val="000000" w:themeColor="text1"/>
          <w:sz w:val="44"/>
          <w:szCs w:val="44"/>
          <w:lang w:val="en-US"/>
          <w14:textFill>
            <w14:solidFill>
              <w14:schemeClr w14:val="tx1"/>
            </w14:solidFill>
          </w14:textFill>
        </w:rPr>
      </w:pPr>
      <w:r>
        <w:rPr>
          <w:rStyle w:val="12"/>
          <w:rFonts w:ascii="仿宋_GB2312" w:hAnsi="仿宋_GB2312" w:eastAsia="仿宋_GB2312" w:cs="仿宋_GB2312"/>
          <w:color w:val="000000" w:themeColor="text1"/>
          <w:sz w:val="42"/>
          <w:szCs w:val="42"/>
          <w14:textFill>
            <w14:solidFill>
              <w14:schemeClr w14:val="tx1"/>
            </w14:solidFill>
          </w14:textFill>
        </w:rPr>
        <w:t>内蒙古自治区包头市昆都仑区</w:t>
      </w:r>
      <w:r>
        <w:rPr>
          <w:rStyle w:val="12"/>
          <w:rFonts w:hint="eastAsia" w:ascii="仿宋_GB2312" w:hAnsi="仿宋_GB2312" w:eastAsia="仿宋_GB2312" w:cs="仿宋_GB2312"/>
          <w:color w:val="000000" w:themeColor="text1"/>
          <w:sz w:val="42"/>
          <w:szCs w:val="42"/>
          <w:lang w:eastAsia="zh-CN"/>
          <w14:textFill>
            <w14:solidFill>
              <w14:schemeClr w14:val="tx1"/>
            </w14:solidFill>
          </w14:textFill>
        </w:rPr>
        <w:t>城乡社会经</w:t>
      </w:r>
      <w:r>
        <w:rPr>
          <w:rStyle w:val="12"/>
          <w:rFonts w:hint="eastAsia" w:ascii="仿宋_GB2312" w:hAnsi="仿宋_GB2312" w:eastAsia="仿宋_GB2312" w:cs="仿宋_GB2312"/>
          <w:color w:val="000000" w:themeColor="text1"/>
          <w:sz w:val="42"/>
          <w:szCs w:val="42"/>
          <w:lang w:val="en-US" w:eastAsia="zh-CN"/>
          <w14:textFill>
            <w14:solidFill>
              <w14:schemeClr w14:val="tx1"/>
            </w14:solidFill>
          </w14:textFill>
        </w:rPr>
        <w:t xml:space="preserve">   </w:t>
      </w:r>
      <w:r>
        <w:rPr>
          <w:rStyle w:val="12"/>
          <w:rFonts w:hint="eastAsia" w:ascii="仿宋_GB2312" w:hAnsi="仿宋_GB2312" w:eastAsia="仿宋_GB2312" w:cs="仿宋_GB2312"/>
          <w:color w:val="000000" w:themeColor="text1"/>
          <w:sz w:val="42"/>
          <w:szCs w:val="42"/>
          <w:lang w:eastAsia="zh-CN"/>
          <w14:textFill>
            <w14:solidFill>
              <w14:schemeClr w14:val="tx1"/>
            </w14:solidFill>
          </w14:textFill>
        </w:rPr>
        <w:t>济调查队</w:t>
      </w:r>
      <w:r>
        <w:rPr>
          <w:rFonts w:hint="default" w:ascii="仿宋_GB2312" w:hAnsi="Times New Roman" w:eastAsia="仿宋_GB2312" w:cs="仿宋_GB2312"/>
          <w:b/>
          <w:bCs/>
          <w:color w:val="000000" w:themeColor="text1"/>
          <w:sz w:val="44"/>
          <w:szCs w:val="44"/>
          <w:lang w:val="en-US"/>
          <w14:textFill>
            <w14:solidFill>
              <w14:schemeClr w14:val="tx1"/>
            </w14:solidFill>
          </w14:textFill>
        </w:rPr>
        <w:t>2020</w:t>
      </w:r>
      <w:r>
        <w:rPr>
          <w:rFonts w:hint="default" w:ascii="仿宋_GB2312" w:hAnsi="Times New Roman" w:eastAsia="仿宋_GB2312" w:cs="仿宋_GB2312"/>
          <w:b/>
          <w:bCs/>
          <w:color w:val="000000" w:themeColor="text1"/>
          <w:sz w:val="44"/>
          <w:szCs w:val="44"/>
          <w14:textFill>
            <w14:solidFill>
              <w14:schemeClr w14:val="tx1"/>
            </w14:solidFill>
          </w14:textFill>
        </w:rPr>
        <w:t>年度决算公开报告</w:t>
      </w: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jc w:val="center"/>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p>
      <w:pPr>
        <w:keepNext w:val="0"/>
        <w:keepLines w:val="0"/>
        <w:widowControl/>
        <w:suppressLineNumbers w:val="0"/>
        <w:adjustRightInd w:val="0"/>
        <w:spacing w:before="0" w:beforeAutospacing="1" w:after="0" w:afterAutospacing="1"/>
        <w:ind w:left="0" w:right="0" w:firstLine="601"/>
        <w:jc w:val="left"/>
        <w:rPr>
          <w:rFonts w:hint="default" w:ascii="Times New Roman" w:hAnsi="Times New Roman" w:eastAsia="仿宋_GB2312" w:cs="Times New Roman"/>
          <w:b/>
          <w:bCs/>
          <w:color w:val="000000" w:themeColor="text1"/>
          <w:sz w:val="44"/>
          <w:szCs w:val="44"/>
          <w:lang w:val="en-US"/>
          <w14:textFill>
            <w14:solidFill>
              <w14:schemeClr w14:val="tx1"/>
            </w14:solidFill>
          </w14:textFill>
        </w:rPr>
      </w:pPr>
    </w:p>
    <w:p>
      <w:pPr>
        <w:keepNext w:val="0"/>
        <w:keepLines w:val="0"/>
        <w:widowControl/>
        <w:suppressLineNumbers w:val="0"/>
        <w:adjustRightInd w:val="0"/>
        <w:spacing w:before="0" w:beforeAutospacing="1" w:after="0" w:afterAutospacing="1"/>
        <w:ind w:left="0" w:right="0" w:firstLine="601"/>
        <w:jc w:val="center"/>
        <w:rPr>
          <w:rFonts w:hint="default" w:ascii="Times New Roman" w:hAnsi="Times New Roman" w:eastAsia="仿宋_GB2312" w:cs="Times New Roman"/>
          <w:b/>
          <w:bCs/>
          <w:color w:val="000000" w:themeColor="text1"/>
          <w:sz w:val="44"/>
          <w:szCs w:val="44"/>
          <w:lang w:val="en-US"/>
          <w14:textFill>
            <w14:solidFill>
              <w14:schemeClr w14:val="tx1"/>
            </w14:solidFill>
          </w14:textFill>
        </w:rPr>
      </w:pPr>
      <w:r>
        <w:rPr>
          <w:rFonts w:hint="default" w:ascii="仿宋_GB2312" w:hAnsi="Times New Roman" w:eastAsia="仿宋_GB2312" w:cs="仿宋_GB2312"/>
          <w:b/>
          <w:bCs/>
          <w:color w:val="000000" w:themeColor="text1"/>
          <w:sz w:val="44"/>
          <w:szCs w:val="44"/>
          <w14:textFill>
            <w14:solidFill>
              <w14:schemeClr w14:val="tx1"/>
            </w14:solidFill>
          </w14:textFill>
        </w:rPr>
        <w:t>目录</w:t>
      </w:r>
    </w:p>
    <w:p>
      <w:pPr>
        <w:keepNext w:val="0"/>
        <w:keepLines w:val="0"/>
        <w:widowControl/>
        <w:suppressLineNumbers w:val="0"/>
        <w:adjustRightInd w:val="0"/>
        <w:spacing w:before="0" w:beforeAutospacing="1" w:after="0" w:afterAutospacing="1"/>
        <w:ind w:left="0" w:right="0" w:firstLine="601"/>
        <w:jc w:val="left"/>
        <w:rPr>
          <w:rFonts w:hint="default" w:ascii="Times New Roman" w:hAnsi="Times New Roman" w:eastAsia="仿宋_GB2312" w:cs="Times New Roman"/>
          <w:b/>
          <w:bCs/>
          <w:color w:val="000000" w:themeColor="text1"/>
          <w:sz w:val="44"/>
          <w:szCs w:val="44"/>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黑体" w:cs="Times New Roman"/>
          <w:b/>
          <w:bCs/>
          <w:color w:val="000000" w:themeColor="text1"/>
          <w:sz w:val="32"/>
          <w:szCs w:val="32"/>
          <w:lang w:val="en-US"/>
          <w14:textFill>
            <w14:solidFill>
              <w14:schemeClr w14:val="tx1"/>
            </w14:solidFill>
          </w14:textFill>
        </w:rPr>
      </w:pPr>
      <w:r>
        <w:rPr>
          <w:rFonts w:ascii="黑体" w:hAnsi="Times New Roman" w:eastAsia="黑体" w:cs="黑体"/>
          <w:b/>
          <w:bCs/>
          <w:color w:val="000000" w:themeColor="text1"/>
          <w:sz w:val="32"/>
          <w:szCs w:val="32"/>
          <w14:textFill>
            <w14:solidFill>
              <w14:schemeClr w14:val="tx1"/>
            </w14:solidFill>
          </w14:textFill>
        </w:rPr>
        <w:t>第一部分 部门基本情况</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一、部门职责</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二、机构设置</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黑体" w:cs="Times New Roman"/>
          <w:b/>
          <w:bCs/>
          <w:color w:val="000000" w:themeColor="text1"/>
          <w:sz w:val="32"/>
          <w:szCs w:val="32"/>
          <w:lang w:val="en-US"/>
          <w14:textFill>
            <w14:solidFill>
              <w14:schemeClr w14:val="tx1"/>
            </w14:solidFill>
          </w14:textFill>
        </w:rPr>
      </w:pPr>
      <w:r>
        <w:rPr>
          <w:rFonts w:hint="eastAsia" w:ascii="黑体" w:hAnsi="Times New Roman" w:eastAsia="黑体" w:cs="黑体"/>
          <w:b/>
          <w:bCs/>
          <w:color w:val="000000" w:themeColor="text1"/>
          <w:sz w:val="32"/>
          <w:szCs w:val="32"/>
          <w14:textFill>
            <w14:solidFill>
              <w14:schemeClr w14:val="tx1"/>
            </w14:solidFill>
          </w14:textFill>
        </w:rPr>
        <w:t>第二部分</w:t>
      </w:r>
      <w:r>
        <w:rPr>
          <w:rFonts w:hint="eastAsia" w:ascii="黑体" w:hAnsi="Times New Roman" w:eastAsia="黑体" w:cs="黑体"/>
          <w:b/>
          <w:bCs/>
          <w:color w:val="000000" w:themeColor="text1"/>
          <w:sz w:val="32"/>
          <w:szCs w:val="32"/>
          <w:lang w:val="en-US"/>
          <w14:textFill>
            <w14:solidFill>
              <w14:schemeClr w14:val="tx1"/>
            </w14:solidFill>
          </w14:textFill>
        </w:rPr>
        <w:t xml:space="preserve"> 2020</w:t>
      </w:r>
      <w:r>
        <w:rPr>
          <w:rFonts w:hint="eastAsia" w:ascii="黑体" w:hAnsi="Times New Roman" w:eastAsia="黑体" w:cs="黑体"/>
          <w:b/>
          <w:bCs/>
          <w:color w:val="000000" w:themeColor="text1"/>
          <w:sz w:val="32"/>
          <w:szCs w:val="32"/>
          <w14:textFill>
            <w14:solidFill>
              <w14:schemeClr w14:val="tx1"/>
            </w14:solidFill>
          </w14:textFill>
        </w:rPr>
        <w:t>年度部门决算情况说明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年度预算执行情况分析</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（一）关于收支情况总体说明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年度收入决算情况说明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年度支出决算情况说明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（四）关于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年度财政拨款收入支出决算总体情况说明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（五）关于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年度一般公共预算财政拨款支出决算情况说明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（六）关于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年度一般公共预算财政拨款基本支出决算情况说明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（七）关于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lang w:val="en-US"/>
          <w14:textFill>
            <w14:solidFill>
              <w14:schemeClr w14:val="tx1"/>
            </w14:solidFill>
          </w14:textFill>
        </w:rPr>
        <w:t>1</w:t>
      </w:r>
      <w:r>
        <w:rPr>
          <w:rFonts w:hint="default" w:ascii="仿宋_GB2312" w:hAnsi="Times New Roman" w:eastAsia="仿宋_GB2312" w:cs="仿宋_GB2312"/>
          <w:color w:val="000000" w:themeColor="text1"/>
          <w:sz w:val="32"/>
          <w:szCs w:val="32"/>
          <w14:textFill>
            <w14:solidFill>
              <w14:schemeClr w14:val="tx1"/>
            </w14:solidFill>
          </w14:textFill>
        </w:rPr>
        <w:t>、财政拨款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经费支出决算总体情况说明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lang w:val="en-US"/>
          <w14:textFill>
            <w14:solidFill>
              <w14:schemeClr w14:val="tx1"/>
            </w14:solidFill>
          </w14:textFill>
        </w:rPr>
        <w:t>2</w:t>
      </w:r>
      <w:r>
        <w:rPr>
          <w:rFonts w:hint="default" w:ascii="仿宋_GB2312" w:hAnsi="Times New Roman" w:eastAsia="仿宋_GB2312" w:cs="仿宋_GB2312"/>
          <w:color w:val="000000" w:themeColor="text1"/>
          <w:sz w:val="32"/>
          <w:szCs w:val="32"/>
          <w14:textFill>
            <w14:solidFill>
              <w14:schemeClr w14:val="tx1"/>
            </w14:solidFill>
          </w14:textFill>
        </w:rPr>
        <w:t>、财政拨款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经费支出决算具体情况说明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三、预算绩效情况说明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（一）预算绩效管理工作开展情况</w:t>
      </w:r>
    </w:p>
    <w:p>
      <w:pPr>
        <w:keepNext w:val="0"/>
        <w:keepLines w:val="0"/>
        <w:widowControl/>
        <w:suppressLineNumbers w:val="0"/>
        <w:adjustRightInd w:val="0"/>
        <w:spacing w:before="0" w:beforeAutospacing="1" w:after="0" w:afterAutospacing="1" w:line="580" w:lineRule="exact"/>
        <w:ind w:left="0" w:right="0" w:firstLine="600"/>
        <w:rPr>
          <w:rFonts w:hint="default" w:ascii="仿宋_GB2312" w:hAnsi="Times New Roman" w:eastAsia="仿宋_GB2312" w:cs="仿宋_GB2312"/>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（二）部门决算中项目绩效自评结果</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（三）部门评价项目绩效评价结果</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四、其他重要事项的情况说明</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（一）机关运行经费支出情况</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（二）政府采购支出情况</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（三）国有资产占用情况</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黑体" w:cs="Times New Roman"/>
          <w:b/>
          <w:bCs/>
          <w:color w:val="000000" w:themeColor="text1"/>
          <w:sz w:val="32"/>
          <w:szCs w:val="32"/>
          <w:lang w:val="en-US"/>
          <w14:textFill>
            <w14:solidFill>
              <w14:schemeClr w14:val="tx1"/>
            </w14:solidFill>
          </w14:textFill>
        </w:rPr>
      </w:pPr>
      <w:r>
        <w:rPr>
          <w:rFonts w:hint="eastAsia" w:ascii="黑体" w:hAnsi="Times New Roman" w:eastAsia="黑体" w:cs="黑体"/>
          <w:b/>
          <w:bCs/>
          <w:color w:val="000000" w:themeColor="text1"/>
          <w:sz w:val="32"/>
          <w:szCs w:val="32"/>
          <w14:textFill>
            <w14:solidFill>
              <w14:schemeClr w14:val="tx1"/>
            </w14:solidFill>
          </w14:textFill>
        </w:rPr>
        <w:t>第三部分 名词解释</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黑体" w:cs="Times New Roman"/>
          <w:b/>
          <w:bCs/>
          <w:color w:val="000000" w:themeColor="text1"/>
          <w:sz w:val="32"/>
          <w:szCs w:val="32"/>
          <w:lang w:val="en-US"/>
          <w14:textFill>
            <w14:solidFill>
              <w14:schemeClr w14:val="tx1"/>
            </w14:solidFill>
          </w14:textFill>
        </w:rPr>
      </w:pPr>
      <w:r>
        <w:rPr>
          <w:rFonts w:hint="eastAsia" w:ascii="黑体" w:hAnsi="Times New Roman" w:eastAsia="黑体" w:cs="黑体"/>
          <w:b/>
          <w:bCs/>
          <w:color w:val="000000" w:themeColor="text1"/>
          <w:sz w:val="32"/>
          <w:szCs w:val="32"/>
          <w14:textFill>
            <w14:solidFill>
              <w14:schemeClr w14:val="tx1"/>
            </w14:solidFill>
          </w14:textFill>
        </w:rPr>
        <w:t>第四部分 决算公开联系方式及信息反馈渠道</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黑体" w:cs="Times New Roman"/>
          <w:b/>
          <w:bCs/>
          <w:color w:val="000000" w:themeColor="text1"/>
          <w:sz w:val="32"/>
          <w:szCs w:val="32"/>
          <w:lang w:val="en-US"/>
          <w14:textFill>
            <w14:solidFill>
              <w14:schemeClr w14:val="tx1"/>
            </w14:solidFill>
          </w14:textFill>
        </w:rPr>
      </w:pPr>
      <w:r>
        <w:rPr>
          <w:rFonts w:hint="eastAsia" w:ascii="黑体" w:hAnsi="Times New Roman" w:eastAsia="黑体" w:cs="黑体"/>
          <w:b/>
          <w:bCs/>
          <w:color w:val="000000" w:themeColor="text1"/>
          <w:sz w:val="32"/>
          <w:szCs w:val="32"/>
          <w14:textFill>
            <w14:solidFill>
              <w14:schemeClr w14:val="tx1"/>
            </w14:solidFill>
          </w14:textFill>
        </w:rPr>
        <w:t>第五部分 部门决算公开表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一、收入支出决算总表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二、收入决算表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三、支出决算表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四、财政拨款收入支出决算总表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五、一般公共预算财政拨款支出决算表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六、一般公共预算财政拨款基本支出决算明细表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七、政府性基金预算财政拨款收入支出决算表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八、国有资本经营预算财政拨款收入支出决算表</w:t>
      </w:r>
    </w:p>
    <w:p>
      <w:pPr>
        <w:keepNext w:val="0"/>
        <w:keepLines w:val="0"/>
        <w:widowControl/>
        <w:suppressLineNumbers w:val="0"/>
        <w:adjustRightInd w:val="0"/>
        <w:spacing w:before="0" w:beforeAutospacing="1" w:after="0" w:afterAutospacing="1" w:line="580" w:lineRule="exact"/>
        <w:ind w:left="0" w:right="0" w:firstLine="601"/>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九、机构运行信息表</w:t>
      </w:r>
    </w:p>
    <w:p>
      <w:pPr>
        <w:keepNext w:val="0"/>
        <w:keepLines w:val="0"/>
        <w:widowControl/>
        <w:suppressLineNumbers w:val="0"/>
        <w:adjustRightInd w:val="0"/>
        <w:spacing w:before="0" w:beforeAutospacing="1" w:after="0" w:afterAutospacing="1"/>
        <w:ind w:left="0" w:right="0" w:firstLine="601"/>
        <w:jc w:val="left"/>
        <w:rPr>
          <w:rFonts w:hint="default" w:ascii="Times New Roman" w:hAnsi="Times New Roman" w:eastAsia="仿宋_GB2312" w:cs="Times New Roman"/>
          <w:b/>
          <w:bCs/>
          <w:color w:val="000000" w:themeColor="text1"/>
          <w:sz w:val="44"/>
          <w:szCs w:val="44"/>
          <w:lang w:val="en-US"/>
          <w14:textFill>
            <w14:solidFill>
              <w14:schemeClr w14:val="tx1"/>
            </w14:solidFill>
          </w14:textFill>
        </w:rPr>
      </w:pPr>
    </w:p>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第一部分 部门基本情况</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一、部门职责</w:t>
      </w:r>
    </w:p>
    <w:p>
      <w:pPr>
        <w:keepNext w:val="0"/>
        <w:keepLines w:val="0"/>
        <w:widowControl/>
        <w:suppressLineNumbers w:val="0"/>
        <w:jc w:val="left"/>
        <w:rPr>
          <w:color w:val="000000" w:themeColor="text1"/>
          <w14:textFill>
            <w14:solidFill>
              <w14:schemeClr w14:val="tx1"/>
            </w14:solidFill>
          </w14:textFill>
        </w:rPr>
      </w:pPr>
      <w:r>
        <w:rPr>
          <w:rFonts w:ascii="仿宋_GB2312" w:hAnsi="宋体" w:eastAsia="仿宋_GB2312" w:cs="仿宋_GB2312"/>
          <w:b/>
          <w:bCs/>
          <w:color w:val="000000" w:themeColor="text1"/>
          <w:kern w:val="0"/>
          <w:sz w:val="31"/>
          <w:szCs w:val="31"/>
          <w:lang w:val="en-US" w:eastAsia="zh-CN" w:bidi="ar"/>
          <w14:textFill>
            <w14:solidFill>
              <w14:schemeClr w14:val="tx1"/>
            </w14:solidFill>
          </w14:textFill>
        </w:rPr>
        <w:t xml:space="preserve">主要职责如下：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贯彻执行自治区统计局、包头市统计局及上级调查队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制定的统计调查方法制度，组织实施城乡一体化调查、城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镇住户调查、农牧民纯收入调查、价格调查、农牧业生产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情况调查和其他各种专项调查等城乡社会经济调查方案。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准确、及时、系统地搜集、整理和编印城市社会经济调查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资料。开展对城乡社会经济问题的分析研究和快速调查，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向各级党政领导和社会公众提供统计调查资料和信息。负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责调查人员的业务培训。完成上级调查队、昆区区委、区 </w:t>
      </w:r>
    </w:p>
    <w:p>
      <w:pPr>
        <w:keepNext w:val="0"/>
        <w:keepLines w:val="0"/>
        <w:widowControl/>
        <w:suppressLineNumbers w:val="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政府和统计局交办的其他统计调查和分析研究工作。 </w:t>
      </w:r>
    </w:p>
    <w:p>
      <w:pPr>
        <w:keepNext w:val="0"/>
        <w:keepLines w:val="0"/>
        <w:widowControl/>
        <w:numPr>
          <w:ilvl w:val="0"/>
          <w:numId w:val="1"/>
        </w:numPr>
        <w:suppressLineNumbers w:val="0"/>
        <w:ind w:left="240" w:leftChars="0" w:firstLineChars="0"/>
        <w:jc w:val="left"/>
        <w:rPr>
          <w:rFonts w:hint="default" w:ascii="仿宋_GB2312" w:hAnsi="Times New Roman" w:eastAsia="仿宋_GB2312" w:cs="仿宋_GB2312"/>
          <w:color w:val="000000" w:themeColor="text1"/>
          <w:sz w:val="32"/>
          <w:szCs w:val="32"/>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机构设置</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参照公务员法管理的事业单位为 </w:t>
      </w:r>
      <w:r>
        <w:rPr>
          <w:rFonts w:hint="eastAsia" w:ascii="宋体" w:hAnsi="宋体" w:eastAsia="宋体" w:cs="宋体"/>
          <w:color w:val="000000" w:themeColor="text1"/>
          <w:kern w:val="0"/>
          <w:sz w:val="31"/>
          <w:szCs w:val="31"/>
          <w:lang w:val="en-US" w:eastAsia="zh-CN" w:bidi="ar"/>
          <w14:textFill>
            <w14:solidFill>
              <w14:schemeClr w14:val="tx1"/>
            </w14:solidFill>
          </w14:textFill>
        </w:rPr>
        <w:t xml:space="preserve">1 </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家，为包头市昆都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仑区城乡社会经济调查队。 </w:t>
      </w:r>
    </w:p>
    <w:p>
      <w:pPr>
        <w:keepNext w:val="0"/>
        <w:keepLines w:val="0"/>
        <w:widowControl/>
        <w:suppressLineNumbers w:val="0"/>
        <w:ind w:firstLine="310" w:firstLineChars="1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昆都仑区城乡社会经济调查队有编制 33 个，在岗人员 31 </w:t>
      </w:r>
    </w:p>
    <w:p>
      <w:pPr>
        <w:keepNext w:val="0"/>
        <w:keepLines w:val="0"/>
        <w:widowControl/>
        <w:suppressLineNumbers w:val="0"/>
        <w:jc w:val="left"/>
        <w:rPr>
          <w:rFonts w:hint="default" w:ascii="仿宋_GB2312" w:hAnsi="Times New Roman"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人。</w:t>
      </w:r>
    </w:p>
    <w:p>
      <w:pPr>
        <w:keepNext w:val="0"/>
        <w:keepLines w:val="0"/>
        <w:widowControl/>
        <w:numPr>
          <w:ilvl w:val="0"/>
          <w:numId w:val="2"/>
        </w:numPr>
        <w:suppressLineNumbers w:val="0"/>
        <w:adjustRightInd w:val="0"/>
        <w:snapToGrid w:val="0"/>
        <w:spacing w:before="0" w:beforeAutospacing="1" w:after="0" w:afterAutospacing="1"/>
        <w:ind w:left="319" w:leftChars="133" w:right="0" w:firstLine="0" w:firstLineChars="0"/>
        <w:jc w:val="left"/>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本单位内设</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0</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个部门：</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（只有人口就业股、住户调查股、农牧业股、民意调查中心四个科室）</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w:t>
      </w:r>
    </w:p>
    <w:p>
      <w:pPr>
        <w:keepNext w:val="0"/>
        <w:keepLines w:val="0"/>
        <w:widowControl/>
        <w:numPr>
          <w:ilvl w:val="0"/>
          <w:numId w:val="0"/>
        </w:numPr>
        <w:suppressLineNumbers w:val="0"/>
        <w:adjustRightInd w:val="0"/>
        <w:snapToGrid w:val="0"/>
        <w:spacing w:before="0" w:beforeAutospacing="1" w:after="0" w:afterAutospacing="1"/>
        <w:ind w:right="0" w:rightChars="0" w:firstLine="320" w:firstLineChars="100"/>
        <w:jc w:val="left"/>
        <w:rPr>
          <w:rFonts w:hint="default" w:ascii="仿宋_GB2312" w:hAnsi="Times New Roman"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（二）本单位下设独立预算单位共有</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家，其中 </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财政拨款的行政单位</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0</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家 </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；参照公务员法管理的事业单位为</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家； 全额预算管理的事业单位为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0</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家；差额预算管理的事业单位为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0</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家；自收自支单位为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0</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家 。</w:t>
      </w:r>
    </w:p>
    <w:tbl>
      <w:tblPr>
        <w:tblStyle w:val="10"/>
        <w:tblW w:w="8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2"/>
        <w:gridCol w:w="5105"/>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序号</w:t>
            </w:r>
          </w:p>
        </w:tc>
        <w:tc>
          <w:tcPr>
            <w:tcW w:w="5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本年度纳入部门决算范围单位名称</w:t>
            </w:r>
          </w:p>
        </w:tc>
        <w:tc>
          <w:tcPr>
            <w:tcW w:w="18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单位性质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1</w:t>
            </w:r>
          </w:p>
        </w:tc>
        <w:tc>
          <w:tcPr>
            <w:tcW w:w="5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14:textFill>
                  <w14:solidFill>
                    <w14:schemeClr w14:val="tx1"/>
                  </w14:solidFill>
                </w14:textFill>
              </w:rPr>
              <w:t>包头市昆都仑区城乡社会经济调查队</w:t>
            </w:r>
          </w:p>
        </w:tc>
        <w:tc>
          <w:tcPr>
            <w:tcW w:w="18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lang w:eastAsia="zh-CN"/>
                <w14:textFill>
                  <w14:solidFill>
                    <w14:schemeClr w14:val="tx1"/>
                  </w14:solidFill>
                </w14:textFill>
              </w:rPr>
            </w:pPr>
            <w:r>
              <w:rPr>
                <w:rFonts w:hint="eastAsia" w:ascii="宋体" w:hAnsi="宋体" w:eastAsia="宋体" w:cs="宋体"/>
                <w:i w:val="0"/>
                <w:iCs w:val="0"/>
                <w:color w:val="000000" w:themeColor="text1"/>
                <w:kern w:val="0"/>
                <w:sz w:val="24"/>
                <w:szCs w:val="24"/>
                <w:lang w:eastAsia="zh-CN"/>
                <w14:textFill>
                  <w14:solidFill>
                    <w14:schemeClr w14:val="tx1"/>
                  </w14:solidFill>
                </w14:textFill>
              </w:rPr>
              <w:t>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2</w:t>
            </w:r>
          </w:p>
        </w:tc>
        <w:tc>
          <w:tcPr>
            <w:tcW w:w="5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14:textFill>
                  <w14:solidFill>
                    <w14:schemeClr w14:val="tx1"/>
                  </w14:solidFill>
                </w14:textFill>
              </w:rPr>
            </w:pPr>
          </w:p>
        </w:tc>
        <w:tc>
          <w:tcPr>
            <w:tcW w:w="18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3</w:t>
            </w:r>
          </w:p>
        </w:tc>
        <w:tc>
          <w:tcPr>
            <w:tcW w:w="5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14:textFill>
                  <w14:solidFill>
                    <w14:schemeClr w14:val="tx1"/>
                  </w14:solidFill>
                </w14:textFill>
              </w:rPr>
            </w:pPr>
          </w:p>
        </w:tc>
        <w:tc>
          <w:tcPr>
            <w:tcW w:w="18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14:textFill>
                  <w14:solidFill>
                    <w14:schemeClr w14:val="tx1"/>
                  </w14:solidFill>
                </w14:textFill>
              </w:rPr>
            </w:pPr>
          </w:p>
        </w:tc>
      </w:tr>
    </w:tbl>
    <w:p>
      <w:pPr>
        <w:keepNext w:val="0"/>
        <w:keepLines w:val="0"/>
        <w:widowControl/>
        <w:numPr>
          <w:ilvl w:val="0"/>
          <w:numId w:val="3"/>
        </w:numPr>
        <w:suppressLineNumbers w:val="0"/>
        <w:adjustRightInd w:val="0"/>
        <w:snapToGrid w:val="0"/>
        <w:spacing w:before="0" w:beforeAutospacing="1" w:after="0" w:afterAutospacing="1"/>
        <w:ind w:left="960" w:leftChars="0" w:right="0" w:firstLine="0" w:firstLineChars="0"/>
        <w:jc w:val="left"/>
        <w:rPr>
          <w:rFonts w:hint="default" w:ascii="仿宋_GB2312" w:hAnsi="Times New Roman"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人员情况</w:t>
      </w:r>
    </w:p>
    <w:p>
      <w:pPr>
        <w:keepNext w:val="0"/>
        <w:keepLines w:val="0"/>
        <w:widowControl/>
        <w:suppressLineNumbers w:val="0"/>
        <w:adjustRightInd w:val="0"/>
        <w:snapToGrid w:val="0"/>
        <w:spacing w:before="0" w:beforeAutospacing="1" w:after="0" w:afterAutospacing="1"/>
        <w:ind w:left="319" w:leftChars="133" w:right="0" w:rightChars="0" w:firstLine="640" w:firstLineChars="200"/>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本单位共有编制</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33</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人，其中</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行政</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编</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24</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事业</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编</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9</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人；实有人数</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31</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人，其中在职</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31</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人，退休</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0</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人。</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 xml:space="preserve">       </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b/>
          <w:bCs/>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第二部分</w:t>
      </w:r>
      <w:r>
        <w:rPr>
          <w:rFonts w:hint="default" w:ascii="仿宋_GB2312" w:hAnsi="Times New Roman" w:eastAsia="仿宋_GB2312" w:cs="仿宋_GB2312"/>
          <w:b/>
          <w:bCs/>
          <w:color w:val="000000" w:themeColor="text1"/>
          <w:sz w:val="32"/>
          <w:szCs w:val="32"/>
          <w:lang w:val="en-US"/>
          <w14:textFill>
            <w14:solidFill>
              <w14:schemeClr w14:val="tx1"/>
            </w14:solidFill>
          </w14:textFill>
        </w:rPr>
        <w:t xml:space="preserve"> 2020</w:t>
      </w:r>
      <w:r>
        <w:rPr>
          <w:rFonts w:hint="default" w:ascii="仿宋_GB2312" w:hAnsi="Times New Roman" w:eastAsia="仿宋_GB2312" w:cs="仿宋_GB2312"/>
          <w:b/>
          <w:bCs/>
          <w:color w:val="000000" w:themeColor="text1"/>
          <w:sz w:val="32"/>
          <w:szCs w:val="32"/>
          <w14:textFill>
            <w14:solidFill>
              <w14:schemeClr w14:val="tx1"/>
            </w14:solidFill>
          </w14:textFill>
        </w:rPr>
        <w:t>年度部门决算情况说明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仿宋_GB2312" w:hAnsi="Times New Roman" w:eastAsia="仿宋_GB2312" w:cs="仿宋_GB2312"/>
          <w:color w:val="000000" w:themeColor="text1"/>
          <w:sz w:val="32"/>
          <w:szCs w:val="32"/>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年度预算执行情况分析</w:t>
      </w:r>
    </w:p>
    <w:p>
      <w:pPr>
        <w:keepNext w:val="0"/>
        <w:keepLines w:val="0"/>
        <w:widowControl/>
        <w:suppressLineNumbers w:val="0"/>
        <w:ind w:firstLine="640" w:firstLineChars="200"/>
        <w:jc w:val="left"/>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收入年初预算432.55万元，决算398.26万元，决算比预算减少34.29万元，主要原因是：项目压缩开支 ；其中</w:t>
      </w:r>
      <w:r>
        <w:rPr>
          <w:rFonts w:hint="default" w:ascii="仿宋_GB2312" w:hAnsi="Times New Roman" w:eastAsia="仿宋_GB2312" w:cs="仿宋_GB2312"/>
          <w:color w:val="000000" w:themeColor="text1"/>
          <w:sz w:val="32"/>
          <w:szCs w:val="32"/>
          <w14:textFill>
            <w14:solidFill>
              <w14:schemeClr w14:val="tx1"/>
            </w14:solidFill>
          </w14:textFill>
        </w:rPr>
        <w:t>财政拨款</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年初预算432.55万元，决算383.66万元，决算比预算减少48.89万元，主要原因是：项目压缩开支 。支出年初预算432.55万元，决算395.61万元，决算比预算减少36.94万元，主要原因是：</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厉行节约，减少支出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；其中财政拨款年初预算432.55万元，决算383.25万元，决算比预算减少49.3万元，主要原因是：项目压缩开支。</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二、关于</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年度决算情况说明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ascii="楷体" w:hAnsi="Times New Roman" w:eastAsia="楷体" w:cs="楷体"/>
          <w:color w:val="000000" w:themeColor="text1"/>
          <w:sz w:val="32"/>
          <w:szCs w:val="32"/>
          <w14:textFill>
            <w14:solidFill>
              <w14:schemeClr w14:val="tx1"/>
            </w14:solidFill>
          </w14:textFill>
        </w:rPr>
        <w:t>（一）关于收支情况总体说明</w:t>
      </w:r>
    </w:p>
    <w:p>
      <w:pPr>
        <w:keepNext w:val="0"/>
        <w:keepLines w:val="0"/>
        <w:widowControl/>
        <w:suppressLineNumbers w:val="0"/>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本部门</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2020</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年度收入总计</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464.67</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万元，其中：本年收入合计</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398.26</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万元，使用非财政拨款结余</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0.00</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万元，年初结转和结余</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81.04</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万元；支出总计</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395.61</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万元，其中：结余分配</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0.00</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万元，年末结转和结余</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83.69</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万元。与</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2019</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年度相比，收入总计</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减少30.21</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降低6.1</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；支出总计</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减少18.03</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降低4.33</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。主要原因：一是</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厉行节约，减少支出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；二是</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项目压缩开支。</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（二）关于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年度收入决算情况说明</w:t>
      </w:r>
    </w:p>
    <w:p>
      <w:pPr>
        <w:keepNext w:val="0"/>
        <w:keepLines w:val="0"/>
        <w:widowControl/>
        <w:suppressLineNumbers w:val="0"/>
        <w:adjustRightInd w:val="0"/>
        <w:spacing w:before="0" w:beforeAutospacing="1" w:after="0" w:afterAutospacing="1" w:line="580" w:lineRule="exact"/>
        <w:ind w:left="0" w:right="0" w:firstLine="6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年度收入合计</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398.26</w:t>
      </w:r>
      <w:r>
        <w:rPr>
          <w:rFonts w:hint="default" w:ascii="仿宋_GB2312" w:hAnsi="Times New Roman" w:eastAsia="仿宋_GB2312" w:cs="仿宋_GB2312"/>
          <w:color w:val="000000" w:themeColor="text1"/>
          <w:sz w:val="32"/>
          <w:szCs w:val="32"/>
          <w14:textFill>
            <w14:solidFill>
              <w14:schemeClr w14:val="tx1"/>
            </w14:solidFill>
          </w14:textFill>
        </w:rPr>
        <w:t>万元，其中：财政拨款收入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383.66</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default" w:ascii="仿宋_GB2312" w:hAnsi="Times New Roman" w:eastAsia="仿宋_GB2312" w:cs="仿宋_GB2312"/>
          <w:color w:val="000000" w:themeColor="text1"/>
          <w:sz w:val="32"/>
          <w:szCs w:val="32"/>
          <w:lang w:val="en-US"/>
          <w14:textFill>
            <w14:solidFill>
              <w14:schemeClr w14:val="tx1"/>
            </w14:solidFill>
          </w14:textFill>
        </w:rPr>
        <w:t>9</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6.33</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；事业收入</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；经营收入</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；其他收入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14.60</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3.67</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（三）关于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年度支出决算情况说明</w:t>
      </w:r>
    </w:p>
    <w:p>
      <w:pPr>
        <w:keepNext w:val="0"/>
        <w:keepLines w:val="0"/>
        <w:widowControl/>
        <w:suppressLineNumbers w:val="0"/>
        <w:adjustRightInd w:val="0"/>
        <w:spacing w:before="0" w:beforeAutospacing="1" w:after="0" w:afterAutospacing="1" w:line="580" w:lineRule="exact"/>
        <w:ind w:left="0" w:right="0" w:firstLine="600"/>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年度支出合计</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395.61</w:t>
      </w:r>
      <w:r>
        <w:rPr>
          <w:rFonts w:hint="default" w:ascii="仿宋_GB2312" w:hAnsi="Times New Roman" w:eastAsia="仿宋_GB2312" w:cs="仿宋_GB2312"/>
          <w:color w:val="000000" w:themeColor="text1"/>
          <w:sz w:val="32"/>
          <w:szCs w:val="32"/>
          <w14:textFill>
            <w14:solidFill>
              <w14:schemeClr w14:val="tx1"/>
            </w14:solidFill>
          </w14:textFill>
        </w:rPr>
        <w:t>万元，其中：基本支出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358.63</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90.65</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；项目支出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36.98</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9.35</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；经营支出</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（四）关于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年度财政拨款收入支出决算总体情况说明</w:t>
      </w:r>
    </w:p>
    <w:p>
      <w:pPr>
        <w:keepNext w:val="0"/>
        <w:keepLines w:val="0"/>
        <w:widowControl/>
        <w:suppressLineNumbers w:val="0"/>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年度财政拨款收入总计</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383.66</w:t>
      </w:r>
      <w:r>
        <w:rPr>
          <w:rFonts w:hint="default" w:ascii="仿宋_GB2312" w:hAnsi="Times New Roman" w:eastAsia="仿宋_GB2312" w:cs="仿宋_GB2312"/>
          <w:color w:val="000000" w:themeColor="text1"/>
          <w:sz w:val="32"/>
          <w:szCs w:val="32"/>
          <w14:textFill>
            <w14:solidFill>
              <w14:schemeClr w14:val="tx1"/>
            </w14:solidFill>
          </w14:textFill>
        </w:rPr>
        <w:t>万元，其中：年初结转和结余</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36.98</w:t>
      </w:r>
      <w:r>
        <w:rPr>
          <w:rFonts w:hint="default" w:ascii="仿宋_GB2312" w:hAnsi="Times New Roman" w:eastAsia="仿宋_GB2312" w:cs="仿宋_GB2312"/>
          <w:color w:val="000000" w:themeColor="text1"/>
          <w:sz w:val="32"/>
          <w:szCs w:val="32"/>
          <w14:textFill>
            <w14:solidFill>
              <w14:schemeClr w14:val="tx1"/>
            </w14:solidFill>
          </w14:textFill>
        </w:rPr>
        <w:t>万元；支出总计</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383.25</w:t>
      </w:r>
      <w:r>
        <w:rPr>
          <w:rFonts w:hint="default" w:ascii="仿宋_GB2312" w:hAnsi="Times New Roman" w:eastAsia="仿宋_GB2312" w:cs="仿宋_GB2312"/>
          <w:color w:val="000000" w:themeColor="text1"/>
          <w:sz w:val="32"/>
          <w:szCs w:val="32"/>
          <w14:textFill>
            <w14:solidFill>
              <w14:schemeClr w14:val="tx1"/>
            </w14:solidFill>
          </w14:textFill>
        </w:rPr>
        <w:t>万元，其中：年末结转和结余</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37.38</w:t>
      </w:r>
      <w:r>
        <w:rPr>
          <w:rFonts w:hint="default" w:ascii="仿宋_GB2312" w:hAnsi="Times New Roman" w:eastAsia="仿宋_GB2312" w:cs="仿宋_GB2312"/>
          <w:color w:val="000000" w:themeColor="text1"/>
          <w:sz w:val="32"/>
          <w:szCs w:val="32"/>
          <w14:textFill>
            <w14:solidFill>
              <w14:schemeClr w14:val="tx1"/>
            </w14:solidFill>
          </w14:textFill>
        </w:rPr>
        <w:t>万元。与</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年度相比，收入</w:t>
      </w:r>
      <w:r>
        <w:rPr>
          <w:rFonts w:hint="eastAsia" w:ascii="仿宋_GB2312" w:hAnsi="Times New Roman" w:eastAsia="仿宋_GB2312" w:cs="仿宋_GB2312"/>
          <w:color w:val="000000" w:themeColor="text1"/>
          <w:sz w:val="32"/>
          <w:szCs w:val="32"/>
          <w:lang w:eastAsia="zh-CN"/>
          <w14:textFill>
            <w14:solidFill>
              <w14:schemeClr w14:val="tx1"/>
            </w14:solidFill>
          </w14:textFill>
        </w:rPr>
        <w:t>减少</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20.5</w:t>
      </w:r>
      <w:r>
        <w:rPr>
          <w:rFonts w:hint="default" w:ascii="仿宋_GB2312" w:hAnsi="Times New Roman" w:eastAsia="仿宋_GB2312" w:cs="仿宋_GB2312"/>
          <w:color w:val="000000" w:themeColor="text1"/>
          <w:sz w:val="32"/>
          <w:szCs w:val="32"/>
          <w14:textFill>
            <w14:solidFill>
              <w14:schemeClr w14:val="tx1"/>
            </w14:solidFill>
          </w14:textFill>
        </w:rPr>
        <w:t>万元，下降</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4.9</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；支出</w:t>
      </w:r>
      <w:r>
        <w:rPr>
          <w:rFonts w:hint="eastAsia" w:ascii="仿宋_GB2312" w:hAnsi="Times New Roman" w:eastAsia="仿宋_GB2312" w:cs="仿宋_GB2312"/>
          <w:color w:val="000000" w:themeColor="text1"/>
          <w:sz w:val="32"/>
          <w:szCs w:val="32"/>
          <w:lang w:eastAsia="zh-CN"/>
          <w14:textFill>
            <w14:solidFill>
              <w14:schemeClr w14:val="tx1"/>
            </w14:solidFill>
          </w14:textFill>
        </w:rPr>
        <w:t>减少</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18.03</w:t>
      </w:r>
      <w:r>
        <w:rPr>
          <w:rFonts w:hint="default" w:ascii="仿宋_GB2312" w:hAnsi="Times New Roman" w:eastAsia="仿宋_GB2312" w:cs="仿宋_GB2312"/>
          <w:color w:val="000000" w:themeColor="text1"/>
          <w:sz w:val="32"/>
          <w:szCs w:val="32"/>
          <w14:textFill>
            <w14:solidFill>
              <w14:schemeClr w14:val="tx1"/>
            </w14:solidFill>
          </w14:textFill>
        </w:rPr>
        <w:t>万元，</w:t>
      </w:r>
      <w:r>
        <w:rPr>
          <w:rFonts w:hint="eastAsia" w:ascii="仿宋_GB2312" w:hAnsi="Times New Roman" w:eastAsia="仿宋_GB2312" w:cs="仿宋_GB2312"/>
          <w:color w:val="000000" w:themeColor="text1"/>
          <w:sz w:val="32"/>
          <w:szCs w:val="32"/>
          <w:lang w:eastAsia="zh-CN"/>
          <w14:textFill>
            <w14:solidFill>
              <w14:schemeClr w14:val="tx1"/>
            </w14:solidFill>
          </w14:textFill>
        </w:rPr>
        <w:t>下降</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4.36</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。主要原因：</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一是</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厉行节约，减少支出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；二是</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项目压缩开支。</w:t>
      </w:r>
    </w:p>
    <w:p>
      <w:pPr>
        <w:keepNext w:val="0"/>
        <w:keepLines w:val="0"/>
        <w:widowControl/>
        <w:suppressLineNumbers w:val="0"/>
        <w:adjustRightInd w:val="0"/>
        <w:spacing w:before="0" w:beforeAutospacing="1" w:after="0" w:afterAutospacing="1" w:line="580" w:lineRule="exact"/>
        <w:ind w:right="0" w:firstLine="640" w:firstLineChars="2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（五）关于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年度一般公共预算财政拨款支出决算情况说明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年度一般公共预算财政拨款支出合计</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383.25</w:t>
      </w:r>
      <w:r>
        <w:rPr>
          <w:rFonts w:hint="default" w:ascii="仿宋_GB2312" w:hAnsi="Times New Roman" w:eastAsia="仿宋_GB2312" w:cs="仿宋_GB2312"/>
          <w:color w:val="000000" w:themeColor="text1"/>
          <w:sz w:val="32"/>
          <w:szCs w:val="32"/>
          <w14:textFill>
            <w14:solidFill>
              <w14:schemeClr w14:val="tx1"/>
            </w14:solidFill>
          </w14:textFill>
        </w:rPr>
        <w:t>万元，其中：基本支出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346.3</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90.36</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；项目支出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36.98</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9.64</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（六）关于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年度一般公共预算财政拨款基本支出决算情况说明</w:t>
      </w:r>
    </w:p>
    <w:p>
      <w:pPr>
        <w:keepNext w:val="0"/>
        <w:keepLines w:val="0"/>
        <w:widowControl/>
        <w:suppressLineNumbers w:val="0"/>
        <w:jc w:val="left"/>
        <w:rPr>
          <w:color w:val="000000" w:themeColor="text1"/>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本部门</w:t>
      </w:r>
      <w:r>
        <w:rPr>
          <w:rFonts w:hint="default" w:ascii="仿宋_GB2312" w:hAnsi="Times New Roman" w:eastAsia="仿宋_GB2312" w:cs="仿宋_GB2312"/>
          <w:color w:val="000000" w:themeColor="text1"/>
          <w:kern w:val="0"/>
          <w:sz w:val="32"/>
          <w:szCs w:val="32"/>
          <w:lang w:val="en-US" w:eastAsia="zh-CN" w:bidi="ar"/>
          <w14:textFill>
            <w14:solidFill>
              <w14:schemeClr w14:val="tx1"/>
            </w14:solidFill>
          </w14:textFill>
        </w:rPr>
        <w:t>2020</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年度一般公共预算财政拨款基本支出</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345.61</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万元，其中：人员经费</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327.67</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万元，主要包括：基本工资</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98.91万元，</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津贴补贴</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100.81万元，</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机关事业单位</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基本养老保险费 34.64万元、住房公积金23.77万元、职工基本医疗保险缴费 14.7 万元，公务员医疗补助缴费3万元，其他社会保障缴费 0.71 万元，较上年减少 23.81万元，主要原因是：人员较上年相比本年涉及社会保险调标；公用经费17.94万元，主要包括：办公费 1.75万元、培训费 0.09 万元、公务用车运行维护费0.98万元、其他交通费用 12.66 万元，较上年减少 3.19 万元，主要原因是：一是缩减“三公”经费的支出；二是节约开支。 </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楷体" w:cs="Times New Roman"/>
          <w:color w:val="000000" w:themeColor="text1"/>
          <w:sz w:val="32"/>
          <w:szCs w:val="32"/>
          <w:lang w:val="en-US"/>
          <w14:textFill>
            <w14:solidFill>
              <w14:schemeClr w14:val="tx1"/>
            </w14:solidFill>
          </w14:textFill>
        </w:rPr>
      </w:pPr>
      <w:r>
        <w:rPr>
          <w:rFonts w:hint="eastAsia" w:ascii="楷体" w:hAnsi="Times New Roman" w:eastAsia="楷体" w:cs="楷体"/>
          <w:color w:val="000000" w:themeColor="text1"/>
          <w:sz w:val="32"/>
          <w:szCs w:val="32"/>
          <w14:textFill>
            <w14:solidFill>
              <w14:schemeClr w14:val="tx1"/>
            </w14:solidFill>
          </w14:textFill>
        </w:rPr>
        <w:t>（七）关于</w:t>
      </w:r>
      <w:r>
        <w:rPr>
          <w:rFonts w:hint="eastAsia" w:ascii="楷体" w:hAnsi="Times New Roman" w:eastAsia="楷体" w:cs="楷体"/>
          <w:color w:val="000000" w:themeColor="text1"/>
          <w:sz w:val="32"/>
          <w:szCs w:val="32"/>
          <w:lang w:val="en-US"/>
          <w14:textFill>
            <w14:solidFill>
              <w14:schemeClr w14:val="tx1"/>
            </w14:solidFill>
          </w14:textFill>
        </w:rPr>
        <w:t>2020</w:t>
      </w:r>
      <w:r>
        <w:rPr>
          <w:rFonts w:hint="eastAsia" w:ascii="楷体" w:hAnsi="Times New Roman" w:eastAsia="楷体" w:cs="楷体"/>
          <w:color w:val="000000" w:themeColor="text1"/>
          <w:sz w:val="32"/>
          <w:szCs w:val="32"/>
          <w14:textFill>
            <w14:solidFill>
              <w14:schemeClr w14:val="tx1"/>
            </w14:solidFill>
          </w14:textFill>
        </w:rPr>
        <w:t>年度财政拨款</w:t>
      </w:r>
      <w:r>
        <w:rPr>
          <w:rFonts w:hint="default" w:ascii="Times New Roman" w:hAnsi="Times New Roman" w:eastAsia="楷体" w:cs="Times New Roman"/>
          <w:color w:val="000000" w:themeColor="text1"/>
          <w:sz w:val="32"/>
          <w:szCs w:val="32"/>
          <w:lang w:val="en-US"/>
          <w14:textFill>
            <w14:solidFill>
              <w14:schemeClr w14:val="tx1"/>
            </w14:solidFill>
          </w14:textFill>
        </w:rPr>
        <w:t>“</w:t>
      </w:r>
      <w:r>
        <w:rPr>
          <w:rFonts w:hint="eastAsia" w:ascii="楷体" w:hAnsi="Times New Roman" w:eastAsia="楷体" w:cs="楷体"/>
          <w:color w:val="000000" w:themeColor="text1"/>
          <w:sz w:val="32"/>
          <w:szCs w:val="32"/>
          <w14:textFill>
            <w14:solidFill>
              <w14:schemeClr w14:val="tx1"/>
            </w14:solidFill>
          </w14:textFill>
        </w:rPr>
        <w:t>三公</w:t>
      </w:r>
      <w:r>
        <w:rPr>
          <w:rFonts w:hint="default" w:ascii="Times New Roman" w:hAnsi="Times New Roman" w:eastAsia="楷体" w:cs="Times New Roman"/>
          <w:color w:val="000000" w:themeColor="text1"/>
          <w:sz w:val="32"/>
          <w:szCs w:val="32"/>
          <w:lang w:val="en-US"/>
          <w14:textFill>
            <w14:solidFill>
              <w14:schemeClr w14:val="tx1"/>
            </w14:solidFill>
          </w14:textFill>
        </w:rPr>
        <w:t>”</w:t>
      </w:r>
      <w:r>
        <w:rPr>
          <w:rFonts w:hint="eastAsia" w:ascii="楷体" w:hAnsi="Times New Roman" w:eastAsia="楷体" w:cs="楷体"/>
          <w:color w:val="000000" w:themeColor="text1"/>
          <w:sz w:val="32"/>
          <w:szCs w:val="32"/>
          <w14:textFill>
            <w14:solidFill>
              <w14:schemeClr w14:val="tx1"/>
            </w14:solidFill>
          </w14:textFill>
        </w:rPr>
        <w:t>经费支出决算情况说明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lang w:val="en-US"/>
          <w14:textFill>
            <w14:solidFill>
              <w14:schemeClr w14:val="tx1"/>
            </w14:solidFill>
          </w14:textFill>
        </w:rPr>
        <w:t>1</w:t>
      </w:r>
      <w:r>
        <w:rPr>
          <w:rFonts w:hint="default" w:ascii="仿宋_GB2312" w:hAnsi="Times New Roman" w:eastAsia="仿宋_GB2312" w:cs="仿宋_GB2312"/>
          <w:color w:val="000000" w:themeColor="text1"/>
          <w:sz w:val="32"/>
          <w:szCs w:val="32"/>
          <w14:textFill>
            <w14:solidFill>
              <w14:schemeClr w14:val="tx1"/>
            </w14:solidFill>
          </w14:textFill>
        </w:rPr>
        <w:t>、财政拨款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经费支出决算总体情况说明</w:t>
      </w:r>
    </w:p>
    <w:p>
      <w:pPr>
        <w:keepNext w:val="0"/>
        <w:keepLines w:val="0"/>
        <w:widowControl/>
        <w:suppressLineNumbers w:val="0"/>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经费预算为</w:t>
      </w:r>
      <w:r>
        <w:rPr>
          <w:rFonts w:hint="default" w:ascii="仿宋_GB2312" w:hAnsi="Times New Roman" w:eastAsia="仿宋_GB2312" w:cs="仿宋_GB2312"/>
          <w:color w:val="000000" w:themeColor="text1"/>
          <w:sz w:val="32"/>
          <w:szCs w:val="32"/>
          <w:lang w:val="en-US"/>
          <w14:textFill>
            <w14:solidFill>
              <w14:schemeClr w14:val="tx1"/>
            </w14:solidFill>
          </w14:textFill>
        </w:rPr>
        <w:t>1.</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w:t>
      </w:r>
      <w:r>
        <w:rPr>
          <w:rFonts w:hint="default" w:ascii="仿宋_GB2312" w:hAnsi="Times New Roman" w:eastAsia="仿宋_GB2312" w:cs="仿宋_GB2312"/>
          <w:color w:val="000000" w:themeColor="text1"/>
          <w:sz w:val="32"/>
          <w:szCs w:val="32"/>
          <w14:textFill>
            <w14:solidFill>
              <w14:schemeClr w14:val="tx1"/>
            </w14:solidFill>
          </w14:textFill>
        </w:rPr>
        <w:t>万元，支出决算为</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14:textFill>
            <w14:solidFill>
              <w14:schemeClr w14:val="tx1"/>
            </w14:solidFill>
          </w14:textFill>
        </w:rPr>
        <w:t>万元，完成预算的</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75.38</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，其中：因公出国（境）费预算为</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万元，支出决算为</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万元，完成预算的</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；公务用车购置及运行维护费预算为</w:t>
      </w:r>
      <w:r>
        <w:rPr>
          <w:rFonts w:hint="default" w:ascii="仿宋_GB2312" w:hAnsi="Times New Roman" w:eastAsia="仿宋_GB2312" w:cs="仿宋_GB2312"/>
          <w:color w:val="000000" w:themeColor="text1"/>
          <w:sz w:val="32"/>
          <w:szCs w:val="32"/>
          <w:lang w:val="en-US"/>
          <w14:textFill>
            <w14:solidFill>
              <w14:schemeClr w14:val="tx1"/>
            </w14:solidFill>
          </w14:textFill>
        </w:rPr>
        <w:t>1.00</w:t>
      </w:r>
      <w:r>
        <w:rPr>
          <w:rFonts w:hint="default" w:ascii="仿宋_GB2312" w:hAnsi="Times New Roman" w:eastAsia="仿宋_GB2312" w:cs="仿宋_GB2312"/>
          <w:color w:val="000000" w:themeColor="text1"/>
          <w:sz w:val="32"/>
          <w:szCs w:val="32"/>
          <w14:textFill>
            <w14:solidFill>
              <w14:schemeClr w14:val="tx1"/>
            </w14:solidFill>
          </w14:textFill>
        </w:rPr>
        <w:t>万元，支出决算为</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14:textFill>
            <w14:solidFill>
              <w14:schemeClr w14:val="tx1"/>
            </w14:solidFill>
          </w14:textFill>
        </w:rPr>
        <w:t>万元，完成预算的</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lang w:val="en-US"/>
          <w14:textFill>
            <w14:solidFill>
              <w14:schemeClr w14:val="tx1"/>
            </w14:solidFill>
          </w14:textFill>
        </w:rPr>
        <w:t>.00%</w:t>
      </w:r>
      <w:r>
        <w:rPr>
          <w:rFonts w:hint="default" w:ascii="仿宋_GB2312" w:hAnsi="Times New Roman" w:eastAsia="仿宋_GB2312" w:cs="仿宋_GB2312"/>
          <w:color w:val="000000" w:themeColor="text1"/>
          <w:sz w:val="32"/>
          <w:szCs w:val="32"/>
          <w14:textFill>
            <w14:solidFill>
              <w14:schemeClr w14:val="tx1"/>
            </w14:solidFill>
          </w14:textFill>
        </w:rPr>
        <w:t>；公务接待费预算为</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w:t>
      </w:r>
      <w:r>
        <w:rPr>
          <w:rFonts w:hint="default" w:ascii="仿宋_GB2312" w:hAnsi="Times New Roman" w:eastAsia="仿宋_GB2312" w:cs="仿宋_GB2312"/>
          <w:color w:val="000000" w:themeColor="text1"/>
          <w:sz w:val="32"/>
          <w:szCs w:val="32"/>
          <w14:textFill>
            <w14:solidFill>
              <w14:schemeClr w14:val="tx1"/>
            </w14:solidFill>
          </w14:textFill>
        </w:rPr>
        <w:t>万元，支出决算为</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万元，完成预算的</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经费支出决算与预算差异情况的原因：</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一是严格压缩三公经费的支出； </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二是严格杜绝不必要经费的支出</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lang w:val="en-US"/>
          <w14:textFill>
            <w14:solidFill>
              <w14:schemeClr w14:val="tx1"/>
            </w14:solidFill>
          </w14:textFill>
        </w:rPr>
        <w:t>2</w:t>
      </w:r>
      <w:r>
        <w:rPr>
          <w:rFonts w:hint="default" w:ascii="仿宋_GB2312" w:hAnsi="Times New Roman" w:eastAsia="仿宋_GB2312" w:cs="仿宋_GB2312"/>
          <w:color w:val="000000" w:themeColor="text1"/>
          <w:sz w:val="32"/>
          <w:szCs w:val="32"/>
          <w14:textFill>
            <w14:solidFill>
              <w14:schemeClr w14:val="tx1"/>
            </w14:solidFill>
          </w14:textFill>
        </w:rPr>
        <w:t>、财政拨款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经费支出决算具体情况说明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年度财政拨款</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经费支出</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14:textFill>
            <w14:solidFill>
              <w14:schemeClr w14:val="tx1"/>
            </w14:solidFill>
          </w14:textFill>
        </w:rPr>
        <w:t>万元，因公出国（境）费支出</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；公务用车购置及运行维护费支出</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default" w:ascii="仿宋_GB2312" w:hAnsi="Times New Roman" w:eastAsia="仿宋_GB2312" w:cs="仿宋_GB2312"/>
          <w:color w:val="000000" w:themeColor="text1"/>
          <w:sz w:val="32"/>
          <w:szCs w:val="32"/>
          <w:lang w:val="en-US"/>
          <w14:textFill>
            <w14:solidFill>
              <w14:schemeClr w14:val="tx1"/>
            </w14:solidFill>
          </w14:textFill>
        </w:rPr>
        <w:t>100.00%</w:t>
      </w:r>
      <w:r>
        <w:rPr>
          <w:rFonts w:hint="default" w:ascii="仿宋_GB2312" w:hAnsi="Times New Roman" w:eastAsia="仿宋_GB2312" w:cs="仿宋_GB2312"/>
          <w:color w:val="000000" w:themeColor="text1"/>
          <w:sz w:val="32"/>
          <w:szCs w:val="32"/>
          <w14:textFill>
            <w14:solidFill>
              <w14:schemeClr w14:val="tx1"/>
            </w14:solidFill>
          </w14:textFill>
        </w:rPr>
        <w:t>；公务接待费支出</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。具体情况如下：</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因公出国（境）费支出</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万元。全年因公出国（境）团组</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个，累计</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人次。主要全年</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因公出国（境）团组。较上年增加（减少）</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万元，主要全年</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因公出国（境）团组。</w:t>
      </w:r>
    </w:p>
    <w:p>
      <w:pPr>
        <w:keepNext w:val="0"/>
        <w:keepLines w:val="0"/>
        <w:widowControl/>
        <w:suppressLineNumbers w:val="0"/>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公务用车购置及运行维护费支出</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14:textFill>
            <w14:solidFill>
              <w14:schemeClr w14:val="tx1"/>
            </w14:solidFill>
          </w14:textFill>
        </w:rPr>
        <w:t>万元。其中：公务用车购置支出</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支出，车均购置费</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万元，公务用车购置支出较上年增加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无购置</w:t>
      </w:r>
      <w:r>
        <w:rPr>
          <w:rFonts w:hint="default" w:ascii="仿宋_GB2312" w:hAnsi="Times New Roman" w:eastAsia="仿宋_GB2312" w:cs="仿宋_GB2312"/>
          <w:color w:val="000000" w:themeColor="text1"/>
          <w:sz w:val="32"/>
          <w:szCs w:val="32"/>
          <w14:textFill>
            <w14:solidFill>
              <w14:schemeClr w14:val="tx1"/>
            </w14:solidFill>
          </w14:textFill>
        </w:rPr>
        <w:t>。公务用车运行维护费支出</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14:textFill>
            <w14:solidFill>
              <w14:schemeClr w14:val="tx1"/>
            </w14:solidFill>
          </w14:textFill>
        </w:rPr>
        <w:t>万元，用于</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车辆的保</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险、修理、加油等支出</w:t>
      </w:r>
      <w:r>
        <w:rPr>
          <w:rFonts w:hint="default" w:ascii="仿宋_GB2312" w:hAnsi="Times New Roman" w:eastAsia="仿宋_GB2312" w:cs="仿宋_GB2312"/>
          <w:color w:val="000000" w:themeColor="text1"/>
          <w:sz w:val="32"/>
          <w:szCs w:val="32"/>
          <w14:textFill>
            <w14:solidFill>
              <w14:schemeClr w14:val="tx1"/>
            </w14:solidFill>
          </w14:textFill>
        </w:rPr>
        <w:t>，车均运维费</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14:textFill>
            <w14:solidFill>
              <w14:schemeClr w14:val="tx1"/>
            </w14:solidFill>
          </w14:textFill>
        </w:rPr>
        <w:t>万元，公务用车运行维护费支出较上年增加</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0.31</w:t>
      </w:r>
      <w:r>
        <w:rPr>
          <w:rFonts w:hint="default" w:ascii="仿宋_GB2312" w:hAnsi="Times New Roman" w:eastAsia="仿宋_GB2312" w:cs="仿宋_GB2312"/>
          <w:color w:val="000000" w:themeColor="text1"/>
          <w:sz w:val="32"/>
          <w:szCs w:val="32"/>
          <w14:textFill>
            <w14:solidFill>
              <w14:schemeClr w14:val="tx1"/>
            </w14:solidFill>
          </w14:textFill>
        </w:rPr>
        <w:t>万元，主要原因是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业务量加大</w:t>
      </w:r>
      <w:r>
        <w:rPr>
          <w:rFonts w:hint="default" w:ascii="仿宋_GB2312" w:hAnsi="Times New Roman" w:eastAsia="仿宋_GB2312" w:cs="仿宋_GB2312"/>
          <w:color w:val="000000" w:themeColor="text1"/>
          <w:sz w:val="32"/>
          <w:szCs w:val="32"/>
          <w14:textFill>
            <w14:solidFill>
              <w14:schemeClr w14:val="tx1"/>
            </w14:solidFill>
          </w14:textFill>
        </w:rPr>
        <w:t>，财政拨款开支的公务用车保有量为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w:t>
      </w:r>
      <w:r>
        <w:rPr>
          <w:rFonts w:hint="default" w:ascii="仿宋_GB2312" w:hAnsi="Times New Roman" w:eastAsia="仿宋_GB2312" w:cs="仿宋_GB2312"/>
          <w:color w:val="000000" w:themeColor="text1"/>
          <w:sz w:val="32"/>
          <w:szCs w:val="32"/>
          <w14:textFill>
            <w14:solidFill>
              <w14:schemeClr w14:val="tx1"/>
            </w14:solidFill>
          </w14:textFill>
        </w:rPr>
        <w:t>辆。</w:t>
      </w:r>
    </w:p>
    <w:p>
      <w:pPr>
        <w:keepNext w:val="0"/>
        <w:keepLines w:val="0"/>
        <w:widowControl/>
        <w:suppressLineNumbers w:val="0"/>
        <w:adjustRightInd w:val="0"/>
        <w:spacing w:before="0" w:beforeAutospacing="1" w:after="0" w:afterAutospacing="1" w:line="580" w:lineRule="exact"/>
        <w:ind w:left="0" w:right="0" w:firstLine="600"/>
        <w:rPr>
          <w:rFonts w:hint="default" w:ascii="仿宋_GB2312" w:hAnsi="Times New Roman" w:eastAsia="仿宋_GB2312" w:cs="仿宋_GB2312"/>
          <w:color w:val="000000" w:themeColor="text1"/>
          <w:sz w:val="32"/>
          <w:szCs w:val="32"/>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公务接待费支出</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万元。其中：国内公务接待费</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万元，接待</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批次，共接待</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人次。主要</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国内公务接待。国（境）外接待费</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万元，接待</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批次，共接待</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人次。主要</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国（境）外接待。较上年增加</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无接待</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三、预算绩效情况说明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（一）预算绩效管理工作开展情况</w:t>
      </w:r>
    </w:p>
    <w:p>
      <w:pPr>
        <w:keepNext w:val="0"/>
        <w:keepLines w:val="0"/>
        <w:widowControl/>
        <w:suppressLineNumbers w:val="0"/>
        <w:adjustRightInd w:val="0"/>
        <w:spacing w:before="0" w:beforeAutospacing="1" w:after="0" w:afterAutospacing="1" w:line="580" w:lineRule="exact"/>
        <w:ind w:left="0" w:right="0" w:firstLine="600"/>
        <w:rPr>
          <w:rFonts w:hint="eastAsia" w:ascii="仿宋_GB2312" w:hAnsi="Times New Roman" w:eastAsia="仿宋_GB2312" w:cs="仿宋_GB2312"/>
          <w:color w:val="000000" w:themeColor="text1"/>
          <w:sz w:val="32"/>
          <w:szCs w:val="32"/>
          <w:lang w:val="en-US" w:eastAsia="zh-CN"/>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根据预算绩效管理要求，我部门（单位）组织对</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年度一般公共预算项目支出全面开展绩效自评，其中，一级项目</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个，二级项目</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w:t>
      </w:r>
      <w:r>
        <w:rPr>
          <w:rFonts w:hint="default" w:ascii="仿宋_GB2312" w:hAnsi="Times New Roman" w:eastAsia="仿宋_GB2312" w:cs="仿宋_GB2312"/>
          <w:color w:val="000000" w:themeColor="text1"/>
          <w:sz w:val="32"/>
          <w:szCs w:val="32"/>
          <w14:textFill>
            <w14:solidFill>
              <w14:schemeClr w14:val="tx1"/>
            </w14:solidFill>
          </w14:textFill>
        </w:rPr>
        <w:t>个，共涉及资金</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36.98</w:t>
      </w:r>
      <w:r>
        <w:rPr>
          <w:rFonts w:hint="default" w:ascii="仿宋_GB2312" w:hAnsi="Times New Roman" w:eastAsia="仿宋_GB2312" w:cs="仿宋_GB2312"/>
          <w:color w:val="000000" w:themeColor="text1"/>
          <w:sz w:val="32"/>
          <w:szCs w:val="32"/>
          <w14:textFill>
            <w14:solidFill>
              <w14:schemeClr w14:val="tx1"/>
            </w14:solidFill>
          </w14:textFill>
        </w:rPr>
        <w:t>万元，占一般公共预算项目支出总额的</w:t>
      </w:r>
      <w:r>
        <w:rPr>
          <w:rFonts w:hint="default" w:ascii="仿宋_GB2312" w:hAnsi="Times New Roman" w:eastAsia="仿宋_GB2312" w:cs="仿宋_GB2312"/>
          <w:color w:val="000000" w:themeColor="text1"/>
          <w:sz w:val="32"/>
          <w:szCs w:val="32"/>
          <w:lang w:val="en-US"/>
          <w14:textFill>
            <w14:solidFill>
              <w14:schemeClr w14:val="tx1"/>
            </w14:solidFill>
          </w14:textFill>
        </w:rPr>
        <w:t>100%</w:t>
      </w:r>
      <w:r>
        <w:rPr>
          <w:rFonts w:hint="default" w:ascii="仿宋_GB2312" w:hAnsi="Times New Roman" w:eastAsia="仿宋_GB2312" w:cs="仿宋_GB2312"/>
          <w:color w:val="000000" w:themeColor="text1"/>
          <w:sz w:val="32"/>
          <w:szCs w:val="32"/>
          <w14:textFill>
            <w14:solidFill>
              <w14:schemeClr w14:val="tx1"/>
            </w14:solidFill>
          </w14:textFill>
        </w:rPr>
        <w:t>；政府性基金预算项目</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个，其中，一级项目</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个，二级项目</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个，共涉及资金</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万元，占应纳入绩效自评的政府性基金预算项目支出总额的</w:t>
      </w:r>
      <w:r>
        <w:rPr>
          <w:rFonts w:hint="default" w:ascii="仿宋_GB2312" w:hAnsi="Times New Roman" w:eastAsia="仿宋_GB2312" w:cs="仿宋_GB2312"/>
          <w:color w:val="000000" w:themeColor="text1"/>
          <w:sz w:val="32"/>
          <w:szCs w:val="32"/>
          <w:lang w:val="en-US"/>
          <w14:textFill>
            <w14:solidFill>
              <w14:schemeClr w14:val="tx1"/>
            </w14:solidFill>
          </w14:textFill>
        </w:rPr>
        <w:t>100%</w:t>
      </w:r>
      <w:r>
        <w:rPr>
          <w:rFonts w:hint="eastAsia" w:ascii="仿宋_GB2312" w:hAnsi="Times New Roman" w:eastAsia="仿宋_GB2312" w:cs="仿宋_GB2312"/>
          <w:color w:val="000000" w:themeColor="text1"/>
          <w:sz w:val="32"/>
          <w:szCs w:val="32"/>
          <w:lang w:eastAsia="zh-CN"/>
          <w14:textFill>
            <w14:solidFill>
              <w14:schemeClr w14:val="tx1"/>
            </w14:solidFill>
          </w14:textFill>
        </w:rPr>
        <w:t>。</w:t>
      </w:r>
    </w:p>
    <w:p>
      <w:pPr>
        <w:keepNext w:val="0"/>
        <w:keepLines w:val="0"/>
        <w:widowControl/>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组织对</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城乡一体化调查专项</w:t>
      </w:r>
      <w:r>
        <w:rPr>
          <w:rFonts w:hint="default" w:ascii="仿宋_GB2312" w:hAnsi="Times New Roman" w:eastAsia="仿宋_GB2312" w:cs="仿宋_GB2312"/>
          <w:color w:val="000000" w:themeColor="text1"/>
          <w:sz w:val="32"/>
          <w:szCs w:val="32"/>
          <w14:textFill>
            <w14:solidFill>
              <w14:schemeClr w14:val="tx1"/>
            </w14:solidFill>
          </w14:textFill>
        </w:rPr>
        <w:t xml:space="preserve"> </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等</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w:t>
      </w:r>
      <w:r>
        <w:rPr>
          <w:rFonts w:hint="default" w:ascii="仿宋_GB2312" w:hAnsi="Times New Roman" w:eastAsia="仿宋_GB2312" w:cs="仿宋_GB2312"/>
          <w:color w:val="000000" w:themeColor="text1"/>
          <w:sz w:val="32"/>
          <w:szCs w:val="32"/>
          <w14:textFill>
            <w14:solidFill>
              <w14:schemeClr w14:val="tx1"/>
            </w14:solidFill>
          </w14:textFill>
        </w:rPr>
        <w:t>个项目开展了部门评价，涉及一般公共预算支出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36.98</w:t>
      </w:r>
      <w:r>
        <w:rPr>
          <w:rFonts w:hint="default" w:ascii="仿宋_GB2312" w:hAnsi="Times New Roman" w:eastAsia="仿宋_GB2312" w:cs="仿宋_GB2312"/>
          <w:color w:val="000000" w:themeColor="text1"/>
          <w:sz w:val="32"/>
          <w:szCs w:val="32"/>
          <w14:textFill>
            <w14:solidFill>
              <w14:schemeClr w14:val="tx1"/>
            </w14:solidFill>
          </w14:textFill>
        </w:rPr>
        <w:t>万元，政府性基金支出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万元。其中，对</w:t>
      </w:r>
      <w:r>
        <w:rPr>
          <w:rFonts w:hint="default" w:ascii="仿宋_GB2312" w:hAnsi="Times New Roman" w:eastAsia="仿宋_GB2312" w:cs="仿宋_GB2312"/>
          <w:color w:val="000000" w:themeColor="text1"/>
          <w:sz w:val="32"/>
          <w:szCs w:val="32"/>
          <w:lang w:val="en-US"/>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城乡一体化调查专项</w:t>
      </w:r>
      <w:r>
        <w:rPr>
          <w:rFonts w:hint="default" w:ascii="仿宋_GB2312" w:hAnsi="Times New Roman" w:eastAsia="仿宋_GB2312" w:cs="仿宋_GB2312"/>
          <w:color w:val="000000" w:themeColor="text1"/>
          <w:sz w:val="32"/>
          <w:szCs w:val="32"/>
          <w14:textFill>
            <w14:solidFill>
              <w14:schemeClr w14:val="tx1"/>
            </w14:solidFill>
          </w14:textFill>
        </w:rPr>
        <w:t xml:space="preserve"> </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等项目分别委托相关第三方机构开展绩效评价。从评价情况来看，以上项目</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除培训辅调员等培训未完成外，其他各项产出指标均已基本完成。发现的问题及原因：年初绩效目标设定与年度计划安排未对应造成目标略超完成，年初绩效目标未结合项目当年工作量设定。对绩效工作了解不够深入，对单位绩效不够重视，主动性、参与性、积极性需要进一步提高。改进措施：科学设置绩效目标及指标。设置目标时，充分考量相关影响因素，强化事前准备工作，完善指标体系建设。</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（二）部门决算中项目绩效自评结果</w:t>
      </w:r>
    </w:p>
    <w:p>
      <w:pPr>
        <w:keepNext w:val="0"/>
        <w:keepLines w:val="0"/>
        <w:widowControl/>
        <w:suppressLineNumbers w:val="0"/>
        <w:adjustRightInd w:val="0"/>
        <w:spacing w:before="0" w:beforeAutospacing="1" w:after="0" w:afterAutospacing="1" w:line="580" w:lineRule="exact"/>
        <w:ind w:left="0" w:right="0" w:firstLine="600"/>
        <w:rPr>
          <w:rFonts w:hint="default" w:ascii="仿宋_GB2312" w:hAnsi="Times New Roman" w:eastAsia="仿宋_GB2312" w:cs="仿宋_GB2312"/>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我部门今年在部门决算中反映</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城乡一体化调查专项</w:t>
      </w:r>
      <w:r>
        <w:rPr>
          <w:rFonts w:hint="default" w:ascii="仿宋_GB2312" w:hAnsi="Times New Roman" w:eastAsia="仿宋_GB2312" w:cs="仿宋_GB2312"/>
          <w:color w:val="000000" w:themeColor="text1"/>
          <w:sz w:val="32"/>
          <w:szCs w:val="32"/>
          <w14:textFill>
            <w14:solidFill>
              <w14:schemeClr w14:val="tx1"/>
            </w14:solidFill>
          </w14:textFill>
        </w:rPr>
        <w:t xml:space="preserve"> </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等</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w:t>
      </w:r>
      <w:r>
        <w:rPr>
          <w:rFonts w:hint="default" w:ascii="仿宋_GB2312" w:hAnsi="Times New Roman" w:eastAsia="仿宋_GB2312" w:cs="仿宋_GB2312"/>
          <w:color w:val="000000" w:themeColor="text1"/>
          <w:sz w:val="32"/>
          <w:szCs w:val="32"/>
          <w14:textFill>
            <w14:solidFill>
              <w14:schemeClr w14:val="tx1"/>
            </w14:solidFill>
          </w14:textFill>
        </w:rPr>
        <w:t>个一般公共预算项目，以及</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个政府性基金项目，共</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w:t>
      </w:r>
      <w:r>
        <w:rPr>
          <w:rFonts w:hint="default" w:ascii="仿宋_GB2312" w:hAnsi="Times New Roman" w:eastAsia="仿宋_GB2312" w:cs="仿宋_GB2312"/>
          <w:color w:val="000000" w:themeColor="text1"/>
          <w:sz w:val="32"/>
          <w:szCs w:val="32"/>
          <w14:textFill>
            <w14:solidFill>
              <w14:schemeClr w14:val="tx1"/>
            </w14:solidFill>
          </w14:textFill>
        </w:rPr>
        <w:t>个项目的绩效自评结果。</w:t>
      </w:r>
    </w:p>
    <w:p>
      <w:pPr>
        <w:keepNext w:val="0"/>
        <w:keepLines w:val="0"/>
        <w:widowControl/>
        <w:numPr>
          <w:ilvl w:val="0"/>
          <w:numId w:val="4"/>
        </w:numPr>
        <w:suppressLineNumbers w:val="0"/>
        <w:jc w:val="left"/>
        <w:rPr>
          <w:rFonts w:hint="default"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城乡一体化专项调查</w:t>
      </w:r>
      <w:r>
        <w:rPr>
          <w:rFonts w:hint="default" w:ascii="仿宋_GB2312" w:hAnsi="Times New Roman" w:eastAsia="仿宋_GB2312" w:cs="仿宋_GB2312"/>
          <w:color w:val="000000" w:themeColor="text1"/>
          <w:sz w:val="32"/>
          <w:szCs w:val="32"/>
          <w14:textFill>
            <w14:solidFill>
              <w14:schemeClr w14:val="tx1"/>
            </w14:solidFill>
          </w14:textFill>
        </w:rPr>
        <w:t>项目自评综述：根据年初设定的绩效目标，项目自评得分</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color w:val="000000" w:themeColor="text1"/>
          <w:sz w:val="32"/>
          <w:szCs w:val="32"/>
          <w14:textFill>
            <w14:solidFill>
              <w14:schemeClr w14:val="tx1"/>
            </w14:solidFill>
          </w14:textFill>
        </w:rPr>
        <w:t>分。全年预算数为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35</w:t>
      </w:r>
      <w:r>
        <w:rPr>
          <w:rFonts w:hint="default" w:ascii="仿宋_GB2312" w:hAnsi="Times New Roman" w:eastAsia="仿宋_GB2312" w:cs="仿宋_GB2312"/>
          <w:color w:val="000000" w:themeColor="text1"/>
          <w:sz w:val="32"/>
          <w:szCs w:val="32"/>
          <w14:textFill>
            <w14:solidFill>
              <w14:schemeClr w14:val="tx1"/>
            </w14:solidFill>
          </w14:textFill>
        </w:rPr>
        <w:t>万元，执行数为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36.98</w:t>
      </w:r>
      <w:r>
        <w:rPr>
          <w:rFonts w:hint="default" w:ascii="仿宋_GB2312" w:hAnsi="Times New Roman" w:eastAsia="仿宋_GB2312" w:cs="仿宋_GB2312"/>
          <w:color w:val="000000" w:themeColor="text1"/>
          <w:sz w:val="32"/>
          <w:szCs w:val="32"/>
          <w14:textFill>
            <w14:solidFill>
              <w14:schemeClr w14:val="tx1"/>
            </w14:solidFill>
          </w14:textFill>
        </w:rPr>
        <w:t>万元，完成预算的</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。项目绩效目标完成情况：</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除培训辅调员等培训未完成外，其他各项产出指标均已基本完成</w:t>
      </w:r>
      <w:r>
        <w:rPr>
          <w:rFonts w:hint="default" w:ascii="仿宋_GB2312" w:hAnsi="Times New Roman" w:eastAsia="仿宋_GB2312" w:cs="仿宋_GB2312"/>
          <w:color w:val="000000" w:themeColor="text1"/>
          <w:sz w:val="32"/>
          <w:szCs w:val="32"/>
          <w14:textFill>
            <w14:solidFill>
              <w14:schemeClr w14:val="tx1"/>
            </w14:solidFill>
          </w14:textFill>
        </w:rPr>
        <w:t>。发现的主要问题及原因：</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年初绩效目标设定与年度计划安排未对应造成目标略超完成，年初绩效目标未结合项目当年工作量设定。对绩效工作了解不够深入，对单位绩效不够重视，主动性、参与性、积极性需要进一步提高</w:t>
      </w:r>
      <w:r>
        <w:rPr>
          <w:rFonts w:hint="default" w:ascii="仿宋_GB2312" w:hAnsi="Times New Roman" w:eastAsia="仿宋_GB2312" w:cs="仿宋_GB2312"/>
          <w:color w:val="000000" w:themeColor="text1"/>
          <w:sz w:val="32"/>
          <w:szCs w:val="32"/>
          <w14:textFill>
            <w14:solidFill>
              <w14:schemeClr w14:val="tx1"/>
            </w14:solidFill>
          </w14:textFill>
        </w:rPr>
        <w:t>。下一步改进措施：</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：科学设置绩效目标及指标。设置目标时，充分考量相关影响因素，强化事前准备工作，完善指标体系建设</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numPr>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numId w:val="0"/>
        </w:numPr>
        <w:suppressLineNumbers w:val="0"/>
        <w:jc w:val="left"/>
        <w:rPr>
          <w:rFonts w:hint="default" w:ascii="仿宋_GB2312" w:hAnsi="Times New Roman" w:eastAsia="仿宋_GB2312" w:cs="仿宋_GB2312"/>
          <w:color w:val="000000" w:themeColor="text1"/>
          <w:sz w:val="32"/>
          <w:szCs w:val="32"/>
          <w:lang w:val="en-US"/>
          <w14:textFill>
            <w14:solidFill>
              <w14:schemeClr w14:val="tx1"/>
            </w14:solidFill>
          </w14:textFill>
        </w:rPr>
      </w:pPr>
      <w:bookmarkStart w:id="0" w:name="_GoBack"/>
      <w:bookmarkEnd w:id="0"/>
    </w:p>
    <w:tbl>
      <w:tblPr>
        <w:tblStyle w:val="10"/>
        <w:tblW w:w="853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42"/>
        <w:gridCol w:w="947"/>
        <w:gridCol w:w="943"/>
        <w:gridCol w:w="943"/>
        <w:gridCol w:w="955"/>
        <w:gridCol w:w="955"/>
        <w:gridCol w:w="943"/>
        <w:gridCol w:w="5"/>
        <w:gridCol w:w="948"/>
        <w:gridCol w:w="2"/>
        <w:gridCol w:w="5"/>
        <w:gridCol w:w="94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12"/>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4"/>
                <w:szCs w:val="24"/>
                <w14:textFill>
                  <w14:solidFill>
                    <w14:schemeClr w14:val="tx1"/>
                  </w14:solidFill>
                </w14:textFill>
              </w:rPr>
              <w:t>项目支出绩效自评表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8531" w:type="dxa"/>
            <w:gridSpan w:val="12"/>
            <w:tcBorders>
              <w:top w:val="nil"/>
              <w:left w:val="nil"/>
              <w:bottom w:val="single" w:color="auto" w:sz="6" w:space="0"/>
              <w:right w:val="nil"/>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20"/>
                <w:szCs w:val="20"/>
                <w14:textFill>
                  <w14:solidFill>
                    <w14:schemeClr w14:val="tx1"/>
                  </w14:solidFill>
                </w14:textFill>
              </w:rPr>
              <w:t>（</w:t>
            </w:r>
            <w:r>
              <w:rPr>
                <w:rFonts w:hint="eastAsia" w:ascii="宋体" w:hAnsi="Times New Roman" w:eastAsia="宋体" w:cs="宋体"/>
                <w:b/>
                <w:bCs/>
                <w:color w:val="000000" w:themeColor="text1"/>
                <w:kern w:val="0"/>
                <w:sz w:val="20"/>
                <w:szCs w:val="20"/>
                <w:lang w:val="en-US"/>
                <w14:textFill>
                  <w14:solidFill>
                    <w14:schemeClr w14:val="tx1"/>
                  </w14:solidFill>
                </w14:textFill>
              </w:rPr>
              <w:t xml:space="preserve"> 2020 </w:t>
            </w:r>
            <w:r>
              <w:rPr>
                <w:rFonts w:hint="eastAsia" w:ascii="宋体" w:hAnsi="Times New Roman" w:eastAsia="宋体" w:cs="宋体"/>
                <w:b/>
                <w:bCs/>
                <w:color w:val="000000" w:themeColor="text1"/>
                <w:kern w:val="0"/>
                <w:sz w:val="20"/>
                <w:szCs w:val="20"/>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项目名称</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城乡一体化专项调查</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项目负责人及电话</w:t>
            </w:r>
          </w:p>
        </w:tc>
        <w:tc>
          <w:tcPr>
            <w:tcW w:w="2846" w:type="dxa"/>
            <w:gridSpan w:val="6"/>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邢誉亭2836808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主管部门</w:t>
            </w:r>
          </w:p>
        </w:tc>
        <w:tc>
          <w:tcPr>
            <w:tcW w:w="2841" w:type="dxa"/>
            <w:gridSpan w:val="3"/>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包头市昆都仑区城乡社会经济调查队</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实施单位</w:t>
            </w:r>
          </w:p>
        </w:tc>
        <w:tc>
          <w:tcPr>
            <w:tcW w:w="2846" w:type="dxa"/>
            <w:gridSpan w:val="6"/>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包头市昆都仑区城乡社会经济调查队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项目预算执行情况</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（万元）</w:t>
            </w: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全年预算数（</w:t>
            </w:r>
            <w:r>
              <w:rPr>
                <w:rFonts w:hint="eastAsia" w:ascii="宋体" w:hAnsi="Times New Roman" w:eastAsia="宋体" w:cs="宋体"/>
                <w:b/>
                <w:bCs/>
                <w:color w:val="000000" w:themeColor="text1"/>
                <w:kern w:val="0"/>
                <w:sz w:val="13"/>
                <w:szCs w:val="13"/>
                <w:lang w:val="en-US"/>
                <w14:textFill>
                  <w14:solidFill>
                    <w14:schemeClr w14:val="tx1"/>
                  </w14:solidFill>
                </w14:textFill>
              </w:rPr>
              <w:t>A</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全年执行数（</w:t>
            </w:r>
            <w:r>
              <w:rPr>
                <w:rFonts w:hint="eastAsia" w:ascii="宋体" w:hAnsi="Times New Roman" w:eastAsia="宋体" w:cs="宋体"/>
                <w:b/>
                <w:bCs/>
                <w:color w:val="000000" w:themeColor="text1"/>
                <w:kern w:val="0"/>
                <w:sz w:val="13"/>
                <w:szCs w:val="13"/>
                <w:lang w:val="en-US"/>
                <w14:textFill>
                  <w14:solidFill>
                    <w14:schemeClr w14:val="tx1"/>
                  </w14:solidFill>
                </w14:textFill>
              </w:rPr>
              <w:t>B</w:t>
            </w:r>
            <w:r>
              <w:rPr>
                <w:rFonts w:hint="eastAsia" w:ascii="宋体" w:hAnsi="Times New Roman" w:eastAsia="宋体" w:cs="宋体"/>
                <w:b/>
                <w:bCs/>
                <w:color w:val="000000" w:themeColor="text1"/>
                <w:kern w:val="0"/>
                <w:sz w:val="13"/>
                <w:szCs w:val="13"/>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执行率（</w:t>
            </w:r>
            <w:r>
              <w:rPr>
                <w:rFonts w:hint="eastAsia" w:ascii="宋体" w:hAnsi="Times New Roman" w:eastAsia="宋体" w:cs="宋体"/>
                <w:b/>
                <w:bCs/>
                <w:color w:val="000000" w:themeColor="text1"/>
                <w:kern w:val="0"/>
                <w:sz w:val="13"/>
                <w:szCs w:val="13"/>
                <w:lang w:val="en-US"/>
                <w14:textFill>
                  <w14:solidFill>
                    <w14:schemeClr w14:val="tx1"/>
                  </w14:solidFill>
                </w14:textFill>
              </w:rPr>
              <w:t>B/A)</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 </w:t>
            </w: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年度资金总额：</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13"/>
                <w:szCs w:val="13"/>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其中：财政拨款</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35                                 </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889"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1886"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其他资金</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1.98</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年度总体目标完成情况</w:t>
            </w: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预期目标</w:t>
            </w:r>
          </w:p>
        </w:tc>
        <w:tc>
          <w:tcPr>
            <w:tcW w:w="3801" w:type="dxa"/>
            <w:gridSpan w:val="7"/>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目标实际完成情况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15" w:hRule="atLeast"/>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3788"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color w:val="000000" w:themeColor="text1"/>
                <w:sz w:val="13"/>
                <w:szCs w:val="13"/>
                <w14:textFill>
                  <w14:solidFill>
                    <w14:schemeClr w14:val="tx1"/>
                  </w14:solidFill>
                </w14:textFill>
              </w:rPr>
            </w:pPr>
            <w:r>
              <w:rPr>
                <w:rFonts w:hint="default" w:ascii="仿宋_GB2312" w:hAnsi="宋体" w:eastAsia="仿宋_GB2312" w:cs="仿宋_GB2312"/>
                <w:color w:val="000000" w:themeColor="text1"/>
                <w:kern w:val="0"/>
                <w:sz w:val="13"/>
                <w:szCs w:val="13"/>
                <w:lang w:val="en-US" w:eastAsia="zh-CN" w:bidi="ar"/>
                <w14:textFill>
                  <w14:solidFill>
                    <w14:schemeClr w14:val="tx1"/>
                  </w14:solidFill>
                </w14:textFill>
              </w:rPr>
              <w:t>通过完成对城乡统一的一体化住户</w:t>
            </w:r>
            <w:r>
              <w:rPr>
                <w:rFonts w:hint="eastAsia" w:ascii="仿宋_GB2312" w:hAnsi="宋体" w:eastAsia="仿宋_GB2312" w:cs="仿宋_GB2312"/>
                <w:color w:val="000000" w:themeColor="text1"/>
                <w:kern w:val="0"/>
                <w:sz w:val="13"/>
                <w:szCs w:val="13"/>
                <w:lang w:val="en-US" w:eastAsia="zh-CN" w:bidi="ar"/>
                <w14:textFill>
                  <w14:solidFill>
                    <w14:schemeClr w14:val="tx1"/>
                  </w14:solidFill>
                </w14:textFill>
              </w:rPr>
              <w:t>调查《住户收支与生活状况调查》，并据此获得居民有关数据，以此了解我区城镇居民收入、消费及其他生活状况，为政策的制定提供数据支撑。</w:t>
            </w:r>
          </w:p>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3801" w:type="dxa"/>
            <w:gridSpan w:val="7"/>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color w:val="000000" w:themeColor="text1"/>
                <w:sz w:val="13"/>
                <w:szCs w:val="13"/>
                <w14:textFill>
                  <w14:solidFill>
                    <w14:schemeClr w14:val="tx1"/>
                  </w14:solidFill>
                </w14:textFill>
              </w:rPr>
            </w:pPr>
            <w:r>
              <w:rPr>
                <w:rFonts w:hint="default" w:ascii="仿宋_GB2312" w:hAnsi="宋体" w:eastAsia="仿宋_GB2312" w:cs="仿宋_GB2312"/>
                <w:color w:val="000000" w:themeColor="text1"/>
                <w:kern w:val="0"/>
                <w:sz w:val="13"/>
                <w:szCs w:val="13"/>
                <w:lang w:val="en-US" w:eastAsia="zh-CN" w:bidi="ar"/>
                <w14:textFill>
                  <w14:solidFill>
                    <w14:schemeClr w14:val="tx1"/>
                  </w14:solidFill>
                </w14:textFill>
              </w:rPr>
              <w:t>通过完成对城乡统一的一体化住户</w:t>
            </w:r>
            <w:r>
              <w:rPr>
                <w:rFonts w:hint="eastAsia" w:ascii="仿宋_GB2312" w:hAnsi="宋体" w:eastAsia="仿宋_GB2312" w:cs="仿宋_GB2312"/>
                <w:color w:val="000000" w:themeColor="text1"/>
                <w:kern w:val="0"/>
                <w:sz w:val="13"/>
                <w:szCs w:val="13"/>
                <w:lang w:val="en-US" w:eastAsia="zh-CN" w:bidi="ar"/>
                <w14:textFill>
                  <w14:solidFill>
                    <w14:schemeClr w14:val="tx1"/>
                  </w14:solidFill>
                </w14:textFill>
              </w:rPr>
              <w:t>调查《住户收支与生活状况调查》，并据此获得居民有关数据，以此了解我区城镇居民收入、消费及其他生活状      况，为政策的制定提供数据支撑。</w:t>
            </w:r>
          </w:p>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绩效指标</w:t>
            </w: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一级指标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二级指标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三级指标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分值</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预期指标值</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实际完成指标值</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得分</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未完成原因及拟采取的改进措施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76" w:hRule="atLeast"/>
          <w:jc w:val="center"/>
        </w:trPr>
        <w:tc>
          <w:tcPr>
            <w:tcW w:w="942"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产出指标</w:t>
            </w:r>
            <w:r>
              <w:rPr>
                <w:rFonts w:hint="default" w:ascii="Times New Roman" w:hAnsi="Times New Roman" w:eastAsia="宋体" w:cs="Times New Roman"/>
                <w:b/>
                <w:bCs/>
                <w:color w:val="000000" w:themeColor="text1"/>
                <w:kern w:val="0"/>
                <w:sz w:val="13"/>
                <w:szCs w:val="13"/>
                <w14:textFill>
                  <w14:solidFill>
                    <w14:schemeClr w14:val="tx1"/>
                  </w14:solidFill>
                </w14:textFill>
              </w:rPr>
              <w:t xml:space="preserve"> </w:t>
            </w:r>
            <w:r>
              <w:rPr>
                <w:rFonts w:hint="eastAsia" w:ascii="宋体" w:hAnsi="Times New Roman" w:eastAsia="宋体" w:cs="宋体"/>
                <w:b/>
                <w:bCs/>
                <w:color w:val="000000" w:themeColor="text1"/>
                <w:kern w:val="0"/>
                <w:sz w:val="13"/>
                <w:szCs w:val="13"/>
                <w:lang w:val="en-US"/>
                <w14:textFill>
                  <w14:solidFill>
                    <w14:schemeClr w14:val="tx1"/>
                  </w14:solidFill>
                </w14:textFill>
              </w:rPr>
              <w:t>(50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vMerge w:val="restart"/>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数量指标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培训次数</w:t>
            </w:r>
          </w:p>
        </w:tc>
        <w:tc>
          <w:tcPr>
            <w:tcW w:w="955" w:type="dxa"/>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55" w:type="dxa"/>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8" w:type="dxa"/>
            <w:gridSpan w:val="2"/>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w:t>
            </w:r>
          </w:p>
        </w:tc>
        <w:tc>
          <w:tcPr>
            <w:tcW w:w="950" w:type="dxa"/>
            <w:gridSpan w:val="2"/>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3</w:t>
            </w:r>
          </w:p>
        </w:tc>
        <w:tc>
          <w:tcPr>
            <w:tcW w:w="948" w:type="dxa"/>
            <w:gridSpan w:val="2"/>
            <w:tcBorders>
              <w:top w:val="single" w:color="auto" w:sz="6" w:space="0"/>
              <w:left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仿宋_GB2312" w:hAnsi="宋体" w:eastAsia="仿宋_GB2312" w:cs="仿宋_GB2312"/>
                <w:color w:val="000000" w:themeColor="text1"/>
                <w:kern w:val="0"/>
                <w:sz w:val="13"/>
                <w:szCs w:val="13"/>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76" w:hRule="atLeast"/>
          <w:jc w:val="center"/>
        </w:trPr>
        <w:tc>
          <w:tcPr>
            <w:tcW w:w="942"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color w:val="000000" w:themeColor="text1"/>
                <w14:textFill>
                  <w14:solidFill>
                    <w14:schemeClr w14:val="tx1"/>
                  </w14:solidFill>
                </w14:textFill>
              </w:rPr>
            </w:pPr>
          </w:p>
        </w:tc>
        <w:tc>
          <w:tcPr>
            <w:tcW w:w="947"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color w:val="000000" w:themeColor="text1"/>
                <w14:textFill>
                  <w14:solidFill>
                    <w14:schemeClr w14:val="tx1"/>
                  </w14:solidFill>
                </w14:textFill>
              </w:rPr>
            </w:pPr>
          </w:p>
        </w:tc>
        <w:tc>
          <w:tcPr>
            <w:tcW w:w="943" w:type="dxa"/>
            <w:vMerge w:val="continue"/>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color w:val="000000" w:themeColor="text1"/>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补助居民户数数量</w:t>
            </w:r>
          </w:p>
        </w:tc>
        <w:tc>
          <w:tcPr>
            <w:tcW w:w="955" w:type="dxa"/>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55" w:type="dxa"/>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8" w:type="dxa"/>
            <w:gridSpan w:val="2"/>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8" w:type="dxa"/>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50" w:type="dxa"/>
            <w:gridSpan w:val="3"/>
            <w:tcBorders>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质量指标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补助发放率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时效指标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计划期内补贴发放完成率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成本指标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户均补贴资金</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leftChars="0" w:right="0" w:rightChars="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15</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(30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r>
              <w:rPr>
                <w:rFonts w:hint="default" w:ascii="Times New Roman" w:hAnsi="Times New Roman" w:eastAsia="宋体" w:cs="Times New Roman"/>
                <w:b/>
                <w:bCs/>
                <w:color w:val="000000" w:themeColor="text1"/>
                <w:kern w:val="0"/>
                <w:sz w:val="13"/>
                <w:szCs w:val="13"/>
                <w:lang w:val="en-US"/>
                <w14:textFill>
                  <w14:solidFill>
                    <w14:schemeClr w14:val="tx1"/>
                  </w14:solidFill>
                </w14:textFill>
              </w:rPr>
              <w:t xml:space="preserve"> </w:t>
            </w:r>
            <w:r>
              <w:rPr>
                <w:rFonts w:hint="eastAsia" w:ascii="宋体" w:hAnsi="Times New Roman" w:eastAsia="宋体" w:cs="宋体"/>
                <w:b/>
                <w:bCs/>
                <w:color w:val="000000" w:themeColor="text1"/>
                <w:kern w:val="0"/>
                <w:sz w:val="13"/>
                <w:szCs w:val="13"/>
                <w14:textFill>
                  <w14:solidFill>
                    <w14:schemeClr w14:val="tx1"/>
                  </w14:solidFill>
                </w14:textFill>
              </w:rPr>
              <w:t>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经济效益指标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社会效益指标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有效增加记账记账积极性，以此保障数据真实准确性</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0" w:hRule="atLeast"/>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生态效益指标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可持续影响指标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eastAsia"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了解我区城镇居民收入、消费及其他生活状况，为政策的制定提供数据支撑</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20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4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4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满意度指标</w:t>
            </w:r>
            <w:r>
              <w:rPr>
                <w:rFonts w:hint="eastAsia" w:ascii="宋体" w:hAnsi="Times New Roman" w:eastAsia="宋体" w:cs="宋体"/>
                <w:b/>
                <w:bCs/>
                <w:color w:val="000000" w:themeColor="text1"/>
                <w:kern w:val="0"/>
                <w:sz w:val="13"/>
                <w:szCs w:val="13"/>
                <w:lang w:val="en-US"/>
                <w14:textFill>
                  <w14:solidFill>
                    <w14:schemeClr w14:val="tx1"/>
                  </w14:solidFill>
                </w14:textFill>
              </w:rPr>
              <w:t>(10</w:t>
            </w:r>
            <w:r>
              <w:rPr>
                <w:rFonts w:hint="eastAsia" w:ascii="宋体" w:hAnsi="Times New Roman" w:eastAsia="宋体" w:cs="宋体"/>
                <w:b/>
                <w:bCs/>
                <w:color w:val="000000" w:themeColor="text1"/>
                <w:kern w:val="0"/>
                <w:sz w:val="13"/>
                <w:szCs w:val="13"/>
                <w14:textFill>
                  <w14:solidFill>
                    <w14:schemeClr w14:val="tx1"/>
                  </w14:solidFill>
                </w14:textFill>
              </w:rPr>
              <w:t>分</w:t>
            </w:r>
            <w:r>
              <w:rPr>
                <w:rFonts w:hint="eastAsia" w:ascii="宋体" w:hAnsi="Times New Roman" w:eastAsia="宋体" w:cs="宋体"/>
                <w:b/>
                <w:bCs/>
                <w:color w:val="000000" w:themeColor="text1"/>
                <w:kern w:val="0"/>
                <w:sz w:val="13"/>
                <w:szCs w:val="13"/>
                <w:lang w:val="en-US"/>
                <w14:textFill>
                  <w14:solidFill>
                    <w14:schemeClr w14:val="tx1"/>
                  </w14:solidFill>
                </w14:textFill>
              </w:rPr>
              <w:t>)</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服务对象满意度指标</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14:textFill>
                  <w14:solidFill>
                    <w14:schemeClr w14:val="tx1"/>
                  </w14:solidFill>
                </w14:textFill>
              </w:rPr>
            </w:pPr>
            <w:r>
              <w:rPr>
                <w:rFonts w:hint="eastAsia" w:ascii="宋体" w:hAnsi="Times New Roman" w:eastAsia="宋体" w:cs="宋体"/>
                <w:b w:val="0"/>
                <w:bCs w:val="0"/>
                <w:color w:val="000000" w:themeColor="text1"/>
                <w:kern w:val="0"/>
                <w:sz w:val="13"/>
                <w:szCs w:val="13"/>
                <w14:textFill>
                  <w14:solidFill>
                    <w14:schemeClr w14:val="tx1"/>
                  </w14:solidFill>
                </w14:textFill>
              </w:rPr>
              <w:t>服务对象满意度指标</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10</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3775"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b/>
                <w:bCs/>
                <w:color w:val="000000" w:themeColor="text1"/>
                <w:kern w:val="0"/>
                <w:sz w:val="13"/>
                <w:szCs w:val="13"/>
                <w:lang w:val="en-US"/>
                <w14:textFill>
                  <w14:solidFill>
                    <w14:schemeClr w14:val="tx1"/>
                  </w14:solidFill>
                </w14:textFill>
              </w:rPr>
            </w:pPr>
            <w:r>
              <w:rPr>
                <w:rFonts w:hint="eastAsia" w:ascii="宋体" w:hAnsi="Times New Roman" w:eastAsia="宋体" w:cs="宋体"/>
                <w:b/>
                <w:bCs/>
                <w:color w:val="000000" w:themeColor="text1"/>
                <w:kern w:val="0"/>
                <w:sz w:val="13"/>
                <w:szCs w:val="13"/>
                <w14:textFill>
                  <w14:solidFill>
                    <w14:schemeClr w14:val="tx1"/>
                  </w14:solidFill>
                </w14:textFill>
              </w:rPr>
              <w:t>总分</w:t>
            </w:r>
          </w:p>
        </w:tc>
        <w:tc>
          <w:tcPr>
            <w:tcW w:w="9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r>
              <w:rPr>
                <w:rFonts w:hint="eastAsia" w:ascii="宋体" w:hAnsi="Times New Roman" w:eastAsia="宋体" w:cs="宋体"/>
                <w:b/>
                <w:bCs/>
                <w:color w:val="000000" w:themeColor="text1"/>
                <w:kern w:val="0"/>
                <w:sz w:val="13"/>
                <w:szCs w:val="13"/>
                <w:lang w:val="en-US"/>
                <w14:textFill>
                  <w14:solidFill>
                    <w14:schemeClr w14:val="tx1"/>
                  </w14:solidFill>
                </w14:textFill>
              </w:rPr>
              <w:t>100</w:t>
            </w:r>
          </w:p>
        </w:tc>
        <w:tc>
          <w:tcPr>
            <w:tcW w:w="1898"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c>
          <w:tcPr>
            <w:tcW w:w="960" w:type="dxa"/>
            <w:gridSpan w:val="4"/>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13"/>
                <w:szCs w:val="13"/>
                <w:lang w:val="en-US" w:eastAsia="zh-CN"/>
                <w14:textFill>
                  <w14:solidFill>
                    <w14:schemeClr w14:val="tx1"/>
                  </w14:solidFill>
                </w14:textFill>
              </w:rPr>
            </w:pPr>
            <w:r>
              <w:rPr>
                <w:rFonts w:hint="eastAsia" w:ascii="Times New Roman" w:hAnsi="Times New Roman" w:eastAsia="宋体" w:cs="Times New Roman"/>
                <w:color w:val="000000" w:themeColor="text1"/>
                <w:sz w:val="13"/>
                <w:szCs w:val="13"/>
                <w:lang w:val="en-US" w:eastAsia="zh-CN"/>
                <w14:textFill>
                  <w14:solidFill>
                    <w14:schemeClr w14:val="tx1"/>
                  </w14:solidFill>
                </w14:textFill>
              </w:rPr>
              <w:t>98</w:t>
            </w:r>
          </w:p>
        </w:tc>
        <w:tc>
          <w:tcPr>
            <w:tcW w:w="9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宋体" w:cs="Times New Roman"/>
                <w:color w:val="000000" w:themeColor="text1"/>
                <w:sz w:val="32"/>
                <w:szCs w:val="32"/>
                <w:lang w:val="en-US"/>
                <w14:textFill>
                  <w14:solidFill>
                    <w14:schemeClr w14:val="tx1"/>
                  </w14:solidFill>
                </w14:textFill>
              </w:rPr>
            </w:pPr>
          </w:p>
        </w:tc>
      </w:tr>
    </w:tbl>
    <w:p>
      <w:pPr>
        <w:keepNext w:val="0"/>
        <w:keepLines w:val="0"/>
        <w:widowControl/>
        <w:suppressLineNumbers w:val="0"/>
        <w:adjustRightInd w:val="0"/>
        <w:spacing w:before="0" w:beforeAutospacing="1" w:after="0" w:afterAutospacing="1" w:line="580" w:lineRule="exact"/>
        <w:ind w:left="0" w:right="0" w:firstLine="600"/>
        <w:rPr>
          <w:rFonts w:hint="default" w:ascii="仿宋_GB2312" w:hAnsi="Times New Roman" w:eastAsia="仿宋_GB2312" w:cs="仿宋_GB2312"/>
          <w:color w:val="000000" w:themeColor="text1"/>
          <w:sz w:val="32"/>
          <w:szCs w:val="32"/>
          <w:lang w:val="en-US"/>
          <w14:textFill>
            <w14:solidFill>
              <w14:schemeClr w14:val="tx1"/>
            </w14:solidFill>
          </w14:textFill>
        </w:rPr>
      </w:pPr>
    </w:p>
    <w:p>
      <w:pPr>
        <w:keepNext w:val="0"/>
        <w:keepLines w:val="0"/>
        <w:widowControl/>
        <w:numPr>
          <w:ilvl w:val="0"/>
          <w:numId w:val="0"/>
        </w:numPr>
        <w:suppressLineNumbers w:val="0"/>
        <w:adjustRightInd w:val="0"/>
        <w:spacing w:before="0" w:beforeAutospacing="1" w:after="0" w:afterAutospacing="1" w:line="580" w:lineRule="exact"/>
        <w:ind w:left="960" w:leftChars="0" w:right="0" w:rightChars="0"/>
        <w:rPr>
          <w:rFonts w:hint="default" w:ascii="仿宋_GB2312" w:hAnsi="Times New Roman" w:eastAsia="仿宋_GB2312" w:cs="仿宋_GB2312"/>
          <w:b/>
          <w:bCs/>
          <w:color w:val="000000" w:themeColor="text1"/>
          <w:sz w:val="32"/>
          <w:szCs w:val="32"/>
          <w:lang w:val="en-US"/>
          <w14:textFill>
            <w14:solidFill>
              <w14:schemeClr w14:val="tx1"/>
            </w14:solidFill>
          </w14:textFill>
        </w:rPr>
      </w:pPr>
      <w:r>
        <w:rPr>
          <w:rFonts w:hint="eastAsia" w:ascii="仿宋_GB2312" w:hAnsi="Times New Roman" w:eastAsia="仿宋_GB2312" w:cs="仿宋_GB2312"/>
          <w:b/>
          <w:bCs/>
          <w:color w:val="000000" w:themeColor="text1"/>
          <w:sz w:val="32"/>
          <w:szCs w:val="32"/>
          <w:lang w:eastAsia="zh-CN"/>
          <w14:textFill>
            <w14:solidFill>
              <w14:schemeClr w14:val="tx1"/>
            </w14:solidFill>
          </w14:textFill>
        </w:rPr>
        <w:t>（三）</w:t>
      </w:r>
      <w:r>
        <w:rPr>
          <w:rFonts w:hint="default" w:ascii="仿宋_GB2312" w:hAnsi="Times New Roman" w:eastAsia="仿宋_GB2312" w:cs="仿宋_GB2312"/>
          <w:b/>
          <w:bCs/>
          <w:color w:val="000000" w:themeColor="text1"/>
          <w:sz w:val="32"/>
          <w:szCs w:val="32"/>
          <w14:textFill>
            <w14:solidFill>
              <w14:schemeClr w14:val="tx1"/>
            </w14:solidFill>
          </w14:textFill>
        </w:rPr>
        <w:t>部门评价项目绩效评价结果。</w:t>
      </w:r>
    </w:p>
    <w:p>
      <w:pPr>
        <w:keepNext w:val="0"/>
        <w:keepLines w:val="0"/>
        <w:widowControl/>
        <w:numPr>
          <w:ilvl w:val="0"/>
          <w:numId w:val="0"/>
        </w:numPr>
        <w:suppressLineNumbers w:val="0"/>
        <w:adjustRightInd w:val="0"/>
        <w:spacing w:before="0" w:beforeAutospacing="1" w:after="0" w:afterAutospacing="1" w:line="580" w:lineRule="exact"/>
        <w:ind w:left="480" w:leftChars="0" w:right="0" w:rightChars="0" w:firstLine="643" w:firstLineChars="200"/>
        <w:rPr>
          <w:rFonts w:hint="default" w:ascii="仿宋_GB2312" w:hAnsi="Times New Roman" w:eastAsia="仿宋_GB2312" w:cs="仿宋_GB2312"/>
          <w:b/>
          <w:bCs/>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以</w:t>
      </w:r>
      <w:r>
        <w:rPr>
          <w:rFonts w:hint="default" w:ascii="仿宋_GB2312" w:hAnsi="Times New Roman" w:eastAsia="仿宋_GB2312" w:cs="仿宋_GB2312"/>
          <w:b/>
          <w:bCs/>
          <w:color w:val="000000" w:themeColor="text1"/>
          <w:sz w:val="32"/>
          <w:szCs w:val="32"/>
          <w:lang w:val="en-US"/>
          <w14:textFill>
            <w14:solidFill>
              <w14:schemeClr w14:val="tx1"/>
            </w14:solidFill>
          </w14:textFill>
        </w:rPr>
        <w:t>“</w:t>
      </w:r>
      <w:r>
        <w:rPr>
          <w:rFonts w:hint="eastAsia" w:ascii="仿宋_GB2312" w:hAnsi="Times New Roman" w:eastAsia="仿宋_GB2312" w:cs="仿宋_GB2312"/>
          <w:b/>
          <w:bCs/>
          <w:color w:val="000000" w:themeColor="text1"/>
          <w:sz w:val="32"/>
          <w:szCs w:val="32"/>
          <w:lang w:val="en-US" w:eastAsia="zh-CN"/>
          <w14:textFill>
            <w14:solidFill>
              <w14:schemeClr w14:val="tx1"/>
            </w14:solidFill>
          </w14:textFill>
        </w:rPr>
        <w:t>城乡一体化专项调查</w:t>
      </w:r>
      <w:r>
        <w:rPr>
          <w:rFonts w:hint="default" w:ascii="仿宋_GB2312" w:hAnsi="Times New Roman" w:eastAsia="仿宋_GB2312" w:cs="仿宋_GB2312"/>
          <w:b/>
          <w:bCs/>
          <w:color w:val="000000" w:themeColor="text1"/>
          <w:sz w:val="32"/>
          <w:szCs w:val="32"/>
          <w:lang w:val="en-US"/>
          <w14:textFill>
            <w14:solidFill>
              <w14:schemeClr w14:val="tx1"/>
            </w14:solidFill>
          </w14:textFill>
        </w:rPr>
        <w:t>”</w:t>
      </w:r>
      <w:r>
        <w:rPr>
          <w:rFonts w:hint="default" w:ascii="仿宋_GB2312" w:hAnsi="Times New Roman" w:eastAsia="仿宋_GB2312" w:cs="仿宋_GB2312"/>
          <w:b/>
          <w:bCs/>
          <w:color w:val="000000" w:themeColor="text1"/>
          <w:sz w:val="32"/>
          <w:szCs w:val="32"/>
          <w14:textFill>
            <w14:solidFill>
              <w14:schemeClr w14:val="tx1"/>
            </w14:solidFill>
          </w14:textFill>
        </w:rPr>
        <w:t>项目为例，该项目绩效评价综合得分为</w:t>
      </w:r>
      <w:r>
        <w:rPr>
          <w:rFonts w:hint="eastAsia" w:ascii="仿宋_GB2312" w:hAnsi="Times New Roman" w:eastAsia="仿宋_GB2312" w:cs="仿宋_GB2312"/>
          <w:b/>
          <w:bCs/>
          <w:color w:val="000000" w:themeColor="text1"/>
          <w:sz w:val="32"/>
          <w:szCs w:val="32"/>
          <w:lang w:val="en-US" w:eastAsia="zh-CN"/>
          <w14:textFill>
            <w14:solidFill>
              <w14:schemeClr w14:val="tx1"/>
            </w14:solidFill>
          </w14:textFill>
        </w:rPr>
        <w:t>98</w:t>
      </w:r>
      <w:r>
        <w:rPr>
          <w:rFonts w:hint="default" w:ascii="仿宋_GB2312" w:hAnsi="Times New Roman" w:eastAsia="仿宋_GB2312" w:cs="仿宋_GB2312"/>
          <w:b/>
          <w:bCs/>
          <w:color w:val="000000" w:themeColor="text1"/>
          <w:sz w:val="32"/>
          <w:szCs w:val="32"/>
          <w14:textFill>
            <w14:solidFill>
              <w14:schemeClr w14:val="tx1"/>
            </w14:solidFill>
          </w14:textFill>
        </w:rPr>
        <w:t>分，绩效评价结果为</w:t>
      </w:r>
      <w:r>
        <w:rPr>
          <w:rFonts w:hint="default" w:ascii="仿宋_GB2312" w:hAnsi="Times New Roman" w:eastAsia="仿宋_GB2312" w:cs="仿宋_GB2312"/>
          <w:b/>
          <w:bCs/>
          <w:color w:val="000000" w:themeColor="text1"/>
          <w:sz w:val="32"/>
          <w:szCs w:val="32"/>
          <w:lang w:val="en-US"/>
          <w14:textFill>
            <w14:solidFill>
              <w14:schemeClr w14:val="tx1"/>
            </w14:solidFill>
          </w14:textFill>
        </w:rPr>
        <w:t>“</w:t>
      </w:r>
      <w:r>
        <w:rPr>
          <w:rFonts w:hint="default" w:ascii="仿宋_GB2312" w:hAnsi="Times New Roman" w:eastAsia="仿宋_GB2312" w:cs="仿宋_GB2312"/>
          <w:b/>
          <w:bCs/>
          <w:color w:val="000000" w:themeColor="text1"/>
          <w:sz w:val="32"/>
          <w:szCs w:val="32"/>
          <w14:textFill>
            <w14:solidFill>
              <w14:schemeClr w14:val="tx1"/>
            </w14:solidFill>
          </w14:textFill>
        </w:rPr>
        <w:t>优</w:t>
      </w:r>
      <w:r>
        <w:rPr>
          <w:rFonts w:hint="default" w:ascii="仿宋_GB2312" w:hAnsi="Times New Roman" w:eastAsia="仿宋_GB2312" w:cs="仿宋_GB2312"/>
          <w:b/>
          <w:bCs/>
          <w:color w:val="000000" w:themeColor="text1"/>
          <w:sz w:val="32"/>
          <w:szCs w:val="32"/>
          <w:lang w:val="en-US"/>
          <w14:textFill>
            <w14:solidFill>
              <w14:schemeClr w14:val="tx1"/>
            </w14:solidFill>
          </w14:textFill>
        </w:rPr>
        <w:t>”</w:t>
      </w:r>
      <w:r>
        <w:rPr>
          <w:rFonts w:hint="default" w:ascii="仿宋_GB2312" w:hAnsi="Times New Roman" w:eastAsia="仿宋_GB2312" w:cs="仿宋_GB2312"/>
          <w:b/>
          <w:bCs/>
          <w:color w:val="000000" w:themeColor="text1"/>
          <w:sz w:val="32"/>
          <w:szCs w:val="32"/>
          <w14:textFill>
            <w14:solidFill>
              <w14:schemeClr w14:val="tx1"/>
            </w14:solidFill>
          </w14:textFill>
        </w:rPr>
        <w:t>。重点项目绩效评价得分情况详见部门（单位）具体绩效评价结果。</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四、其他重要事项的情况说明</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（一）机关运行经费支出情况</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年度机关运行经费支出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17.94</w:t>
      </w:r>
      <w:r>
        <w:rPr>
          <w:rFonts w:hint="default" w:ascii="仿宋_GB2312" w:hAnsi="Times New Roman" w:eastAsia="仿宋_GB2312" w:cs="仿宋_GB2312"/>
          <w:color w:val="000000" w:themeColor="text1"/>
          <w:sz w:val="32"/>
          <w:szCs w:val="32"/>
          <w14:textFill>
            <w14:solidFill>
              <w14:schemeClr w14:val="tx1"/>
            </w14:solidFill>
          </w14:textFill>
        </w:rPr>
        <w:t>万元，</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包括：办公费1.75万元、公务用车运行维护费0.98万元、其他交通费12.66万元</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年减少</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3.19</w:t>
      </w:r>
      <w:r>
        <w:rPr>
          <w:rFonts w:hint="default" w:ascii="仿宋_GB2312" w:hAnsi="Times New Roman" w:eastAsia="仿宋_GB2312" w:cs="仿宋_GB2312"/>
          <w:color w:val="000000" w:themeColor="text1"/>
          <w:sz w:val="32"/>
          <w:szCs w:val="32"/>
          <w14:textFill>
            <w14:solidFill>
              <w14:schemeClr w14:val="tx1"/>
            </w14:solidFill>
          </w14:textFill>
        </w:rPr>
        <w:t>万元，降低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15.1</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开展数据核查</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（二）政府采购支出情况</w:t>
      </w:r>
    </w:p>
    <w:p>
      <w:pPr>
        <w:keepNext w:val="0"/>
        <w:keepLines w:val="0"/>
        <w:widowControl/>
        <w:suppressLineNumbers w:val="0"/>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本部门</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年度政府采购支出合计</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8.89</w:t>
      </w:r>
      <w:r>
        <w:rPr>
          <w:rFonts w:hint="default" w:ascii="仿宋_GB2312" w:hAnsi="Times New Roman" w:eastAsia="仿宋_GB2312" w:cs="仿宋_GB2312"/>
          <w:color w:val="000000" w:themeColor="text1"/>
          <w:sz w:val="32"/>
          <w:szCs w:val="32"/>
          <w14:textFill>
            <w14:solidFill>
              <w14:schemeClr w14:val="tx1"/>
            </w14:solidFill>
          </w14:textFill>
        </w:rPr>
        <w:t>万元，其中：政府采购货物支出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3.37</w:t>
      </w:r>
      <w:r>
        <w:rPr>
          <w:rFonts w:hint="default" w:ascii="仿宋_GB2312" w:hAnsi="Times New Roman" w:eastAsia="仿宋_GB2312" w:cs="仿宋_GB2312"/>
          <w:color w:val="000000" w:themeColor="text1"/>
          <w:sz w:val="32"/>
          <w:szCs w:val="32"/>
          <w14:textFill>
            <w14:solidFill>
              <w14:schemeClr w14:val="tx1"/>
            </w14:solidFill>
          </w14:textFill>
        </w:rPr>
        <w:t>万元，比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年增加</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2.24</w:t>
      </w:r>
      <w:r>
        <w:rPr>
          <w:rFonts w:hint="default" w:ascii="仿宋_GB2312" w:hAnsi="Times New Roman" w:eastAsia="仿宋_GB2312" w:cs="仿宋_GB2312"/>
          <w:color w:val="000000" w:themeColor="text1"/>
          <w:sz w:val="32"/>
          <w:szCs w:val="32"/>
          <w14:textFill>
            <w14:solidFill>
              <w14:schemeClr w14:val="tx1"/>
            </w14:solidFill>
          </w14:textFill>
        </w:rPr>
        <w:t>万元，增长</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198.23</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，主要原因是：</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较上年相比购买办公设备支出</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增加</w:t>
      </w:r>
      <w:r>
        <w:rPr>
          <w:rFonts w:hint="default" w:ascii="仿宋_GB2312" w:hAnsi="Times New Roman" w:eastAsia="仿宋_GB2312" w:cs="仿宋_GB2312"/>
          <w:color w:val="000000" w:themeColor="text1"/>
          <w:sz w:val="32"/>
          <w:szCs w:val="32"/>
          <w14:textFill>
            <w14:solidFill>
              <w14:schemeClr w14:val="tx1"/>
            </w14:solidFill>
          </w14:textFill>
        </w:rPr>
        <w:t>；政府采购工程支出</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年增加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万元，增长</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无此项采购</w:t>
      </w:r>
      <w:r>
        <w:rPr>
          <w:rFonts w:hint="default" w:ascii="仿宋_GB2312" w:hAnsi="Times New Roman" w:eastAsia="仿宋_GB2312" w:cs="仿宋_GB2312"/>
          <w:color w:val="000000" w:themeColor="text1"/>
          <w:sz w:val="32"/>
          <w:szCs w:val="32"/>
          <w14:textFill>
            <w14:solidFill>
              <w14:schemeClr w14:val="tx1"/>
            </w14:solidFill>
          </w14:textFill>
        </w:rPr>
        <w:t>；政府采购服务支出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5.52</w:t>
      </w:r>
      <w:r>
        <w:rPr>
          <w:rFonts w:hint="default" w:ascii="仿宋_GB2312" w:hAnsi="Times New Roman" w:eastAsia="仿宋_GB2312" w:cs="仿宋_GB2312"/>
          <w:color w:val="000000" w:themeColor="text1"/>
          <w:sz w:val="32"/>
          <w:szCs w:val="32"/>
          <w14:textFill>
            <w14:solidFill>
              <w14:schemeClr w14:val="tx1"/>
            </w14:solidFill>
          </w14:textFill>
        </w:rPr>
        <w:t>万元，比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年增加</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5.06</w:t>
      </w:r>
      <w:r>
        <w:rPr>
          <w:rFonts w:hint="default" w:ascii="仿宋_GB2312" w:hAnsi="Times New Roman" w:eastAsia="仿宋_GB2312" w:cs="仿宋_GB2312"/>
          <w:color w:val="000000" w:themeColor="text1"/>
          <w:sz w:val="32"/>
          <w:szCs w:val="32"/>
          <w14:textFill>
            <w14:solidFill>
              <w14:schemeClr w14:val="tx1"/>
            </w14:solidFill>
          </w14:textFill>
        </w:rPr>
        <w:t>元，增长</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1100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项目劳务增加</w:t>
      </w:r>
      <w:r>
        <w:rPr>
          <w:rFonts w:hint="default" w:ascii="仿宋_GB2312" w:hAnsi="Times New Roman" w:eastAsia="仿宋_GB2312" w:cs="仿宋_GB2312"/>
          <w:color w:val="000000" w:themeColor="text1"/>
          <w:sz w:val="32"/>
          <w:szCs w:val="32"/>
          <w14:textFill>
            <w14:solidFill>
              <w14:schemeClr w14:val="tx1"/>
            </w14:solidFill>
          </w14:textFill>
        </w:rPr>
        <w:t>。授予中小企业合同金额</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8.89</w:t>
      </w:r>
      <w:r>
        <w:rPr>
          <w:rFonts w:hint="default" w:ascii="仿宋_GB2312" w:hAnsi="Times New Roman" w:eastAsia="仿宋_GB2312" w:cs="仿宋_GB2312"/>
          <w:color w:val="000000" w:themeColor="text1"/>
          <w:sz w:val="32"/>
          <w:szCs w:val="32"/>
          <w14:textFill>
            <w14:solidFill>
              <w14:schemeClr w14:val="tx1"/>
            </w14:solidFill>
          </w14:textFill>
        </w:rPr>
        <w:t>万元，占政府采购支出合同总额的</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。其中：授予小微企业合同金额</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8.89</w:t>
      </w:r>
      <w:r>
        <w:rPr>
          <w:rFonts w:hint="default" w:ascii="仿宋_GB2312" w:hAnsi="Times New Roman" w:eastAsia="仿宋_GB2312" w:cs="仿宋_GB2312"/>
          <w:color w:val="000000" w:themeColor="text1"/>
          <w:sz w:val="32"/>
          <w:szCs w:val="32"/>
          <w14:textFill>
            <w14:solidFill>
              <w14:schemeClr w14:val="tx1"/>
            </w14:solidFill>
          </w14:textFill>
        </w:rPr>
        <w:t>万元，占政府采购支出合同总额的</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100</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（三）国有资产占用情况</w:t>
      </w:r>
    </w:p>
    <w:p>
      <w:pPr>
        <w:keepNext w:val="0"/>
        <w:keepLines w:val="0"/>
        <w:widowControl/>
        <w:suppressLineNumbers w:val="0"/>
        <w:jc w:val="left"/>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截至</w:t>
      </w:r>
      <w:r>
        <w:rPr>
          <w:rFonts w:hint="default" w:ascii="仿宋_GB2312" w:hAnsi="Times New Roman" w:eastAsia="仿宋_GB2312" w:cs="仿宋_GB2312"/>
          <w:color w:val="000000" w:themeColor="text1"/>
          <w:sz w:val="32"/>
          <w:szCs w:val="32"/>
          <w:lang w:val="en-US"/>
          <w14:textFill>
            <w14:solidFill>
              <w14:schemeClr w14:val="tx1"/>
            </w14:solidFill>
          </w14:textFill>
        </w:rPr>
        <w:t>2020</w:t>
      </w:r>
      <w:r>
        <w:rPr>
          <w:rFonts w:hint="default" w:ascii="仿宋_GB2312" w:hAnsi="Times New Roman" w:eastAsia="仿宋_GB2312" w:cs="仿宋_GB2312"/>
          <w:color w:val="000000" w:themeColor="text1"/>
          <w:sz w:val="32"/>
          <w:szCs w:val="32"/>
          <w14:textFill>
            <w14:solidFill>
              <w14:schemeClr w14:val="tx1"/>
            </w14:solidFill>
          </w14:textFill>
        </w:rPr>
        <w:t>年</w:t>
      </w:r>
      <w:r>
        <w:rPr>
          <w:rFonts w:hint="default" w:ascii="仿宋_GB2312" w:hAnsi="Times New Roman" w:eastAsia="仿宋_GB2312" w:cs="仿宋_GB2312"/>
          <w:color w:val="000000" w:themeColor="text1"/>
          <w:sz w:val="32"/>
          <w:szCs w:val="32"/>
          <w:lang w:val="en-US"/>
          <w14:textFill>
            <w14:solidFill>
              <w14:schemeClr w14:val="tx1"/>
            </w14:solidFill>
          </w14:textFill>
        </w:rPr>
        <w:t>12</w:t>
      </w:r>
      <w:r>
        <w:rPr>
          <w:rFonts w:hint="default" w:ascii="仿宋_GB2312" w:hAnsi="Times New Roman" w:eastAsia="仿宋_GB2312" w:cs="仿宋_GB2312"/>
          <w:color w:val="000000" w:themeColor="text1"/>
          <w:sz w:val="32"/>
          <w:szCs w:val="32"/>
          <w14:textFill>
            <w14:solidFill>
              <w14:schemeClr w14:val="tx1"/>
            </w14:solidFill>
          </w14:textFill>
        </w:rPr>
        <w:t>月</w:t>
      </w:r>
      <w:r>
        <w:rPr>
          <w:rFonts w:hint="default" w:ascii="仿宋_GB2312" w:hAnsi="Times New Roman" w:eastAsia="仿宋_GB2312" w:cs="仿宋_GB2312"/>
          <w:color w:val="000000" w:themeColor="text1"/>
          <w:sz w:val="32"/>
          <w:szCs w:val="32"/>
          <w:lang w:val="en-US"/>
          <w14:textFill>
            <w14:solidFill>
              <w14:schemeClr w14:val="tx1"/>
            </w14:solidFill>
          </w14:textFill>
        </w:rPr>
        <w:t>31</w:t>
      </w:r>
      <w:r>
        <w:rPr>
          <w:rFonts w:hint="default" w:ascii="仿宋_GB2312" w:hAnsi="Times New Roman" w:eastAsia="仿宋_GB2312" w:cs="仿宋_GB2312"/>
          <w:color w:val="000000" w:themeColor="text1"/>
          <w:sz w:val="32"/>
          <w:szCs w:val="32"/>
          <w14:textFill>
            <w14:solidFill>
              <w14:schemeClr w14:val="tx1"/>
            </w14:solidFill>
          </w14:textFill>
        </w:rPr>
        <w:t>日，本部门共有车辆</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w:t>
      </w:r>
      <w:r>
        <w:rPr>
          <w:rFonts w:hint="default" w:ascii="仿宋_GB2312" w:hAnsi="Times New Roman" w:eastAsia="仿宋_GB2312" w:cs="仿宋_GB2312"/>
          <w:color w:val="000000" w:themeColor="text1"/>
          <w:sz w:val="32"/>
          <w:szCs w:val="32"/>
          <w14:textFill>
            <w14:solidFill>
              <w14:schemeClr w14:val="tx1"/>
            </w14:solidFill>
          </w14:textFill>
        </w:rPr>
        <w:t>辆，其中，副部（省）级及以上领导用车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主要用于：</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主要领导干部用车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辆，主要用于：</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机要通信用车</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w:t>
      </w:r>
      <w:r>
        <w:rPr>
          <w:rFonts w:hint="default" w:ascii="仿宋_GB2312" w:hAnsi="Times New Roman" w:eastAsia="仿宋_GB2312" w:cs="仿宋_GB2312"/>
          <w:color w:val="000000" w:themeColor="text1"/>
          <w:sz w:val="32"/>
          <w:szCs w:val="32"/>
          <w14:textFill>
            <w14:solidFill>
              <w14:schemeClr w14:val="tx1"/>
            </w14:solidFill>
          </w14:textFill>
        </w:rPr>
        <w:t>辆，主要用于</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用于专业人员下企业核查数据</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应急保障用车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辆，主要用于：</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执法执勤用车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主要用于：</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；特种专业技术用车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主要用于：</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；离退休干部用车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主要用于：</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；其他用车</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辆，主要是用于</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。单位价值</w:t>
      </w:r>
      <w:r>
        <w:rPr>
          <w:rFonts w:hint="default" w:ascii="仿宋_GB2312" w:hAnsi="Times New Roman" w:eastAsia="仿宋_GB2312" w:cs="仿宋_GB2312"/>
          <w:color w:val="000000" w:themeColor="text1"/>
          <w:sz w:val="32"/>
          <w:szCs w:val="32"/>
          <w:lang w:val="en-US"/>
          <w14:textFill>
            <w14:solidFill>
              <w14:schemeClr w14:val="tx1"/>
            </w14:solidFill>
          </w14:textFill>
        </w:rPr>
        <w:t>50</w:t>
      </w:r>
      <w:r>
        <w:rPr>
          <w:rFonts w:hint="default" w:ascii="仿宋_GB2312" w:hAnsi="Times New Roman" w:eastAsia="仿宋_GB2312" w:cs="仿宋_GB2312"/>
          <w:color w:val="000000" w:themeColor="text1"/>
          <w:sz w:val="32"/>
          <w:szCs w:val="32"/>
          <w14:textFill>
            <w14:solidFill>
              <w14:schemeClr w14:val="tx1"/>
            </w14:solidFill>
          </w14:textFill>
        </w:rPr>
        <w:t>万元以上通用设备</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台（套），主要是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年增加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台（套），主要原因是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单位价值</w:t>
      </w:r>
      <w:r>
        <w:rPr>
          <w:rFonts w:hint="default" w:ascii="仿宋_GB2312" w:hAnsi="Times New Roman" w:eastAsia="仿宋_GB2312" w:cs="仿宋_GB2312"/>
          <w:color w:val="000000" w:themeColor="text1"/>
          <w:sz w:val="32"/>
          <w:szCs w:val="32"/>
          <w:lang w:val="en-US"/>
          <w14:textFill>
            <w14:solidFill>
              <w14:schemeClr w14:val="tx1"/>
            </w14:solidFill>
          </w14:textFill>
        </w:rPr>
        <w:t>100</w:t>
      </w:r>
      <w:r>
        <w:rPr>
          <w:rFonts w:hint="default" w:ascii="仿宋_GB2312" w:hAnsi="Times New Roman" w:eastAsia="仿宋_GB2312" w:cs="仿宋_GB2312"/>
          <w:color w:val="000000" w:themeColor="text1"/>
          <w:sz w:val="32"/>
          <w:szCs w:val="32"/>
          <w14:textFill>
            <w14:solidFill>
              <w14:schemeClr w14:val="tx1"/>
            </w14:solidFill>
          </w14:textFill>
        </w:rPr>
        <w:t>万元以上专用设备</w:t>
      </w:r>
      <w:r>
        <w:rPr>
          <w:rFonts w:hint="default" w:ascii="仿宋_GB2312" w:hAnsi="Times New Roman" w:eastAsia="仿宋_GB2312" w:cs="仿宋_GB2312"/>
          <w:color w:val="000000" w:themeColor="text1"/>
          <w:sz w:val="32"/>
          <w:szCs w:val="32"/>
          <w:lang w:val="en-US"/>
          <w14:textFill>
            <w14:solidFill>
              <w14:schemeClr w14:val="tx1"/>
            </w14:solidFill>
          </w14:textFill>
        </w:rPr>
        <w:t>0</w:t>
      </w:r>
      <w:r>
        <w:rPr>
          <w:rFonts w:hint="default" w:ascii="仿宋_GB2312" w:hAnsi="Times New Roman" w:eastAsia="仿宋_GB2312" w:cs="仿宋_GB2312"/>
          <w:color w:val="000000" w:themeColor="text1"/>
          <w:sz w:val="32"/>
          <w:szCs w:val="32"/>
          <w14:textFill>
            <w14:solidFill>
              <w14:schemeClr w14:val="tx1"/>
            </w14:solidFill>
          </w14:textFill>
        </w:rPr>
        <w:t>台（套），主要是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，比</w:t>
      </w:r>
      <w:r>
        <w:rPr>
          <w:rFonts w:hint="default" w:ascii="仿宋_GB2312" w:hAnsi="Times New Roman" w:eastAsia="仿宋_GB2312" w:cs="仿宋_GB2312"/>
          <w:color w:val="000000" w:themeColor="text1"/>
          <w:sz w:val="32"/>
          <w:szCs w:val="32"/>
          <w:lang w:val="en-US"/>
          <w14:textFill>
            <w14:solidFill>
              <w14:schemeClr w14:val="tx1"/>
            </w14:solidFill>
          </w14:textFill>
        </w:rPr>
        <w:t>2019</w:t>
      </w:r>
      <w:r>
        <w:rPr>
          <w:rFonts w:hint="default" w:ascii="仿宋_GB2312" w:hAnsi="Times New Roman" w:eastAsia="仿宋_GB2312" w:cs="仿宋_GB2312"/>
          <w:color w:val="000000" w:themeColor="text1"/>
          <w:sz w:val="32"/>
          <w:szCs w:val="32"/>
          <w14:textFill>
            <w14:solidFill>
              <w14:schemeClr w14:val="tx1"/>
            </w14:solidFill>
          </w14:textFill>
        </w:rPr>
        <w:t>年增加</w:t>
      </w:r>
      <w:r>
        <w:rPr>
          <w:rFonts w:hint="default" w:ascii="仿宋_GB2312" w:hAnsi="Times New Roman" w:eastAsia="仿宋_GB2312" w:cs="仿宋_GB2312"/>
          <w:color w:val="000000" w:themeColor="text1"/>
          <w:sz w:val="32"/>
          <w:szCs w:val="32"/>
          <w:lang w:val="en-US"/>
          <w14:textFill>
            <w14:solidFill>
              <w14:schemeClr w14:val="tx1"/>
            </w14:solidFill>
          </w14:textFill>
        </w:rPr>
        <w:t>0.00</w:t>
      </w:r>
      <w:r>
        <w:rPr>
          <w:rFonts w:hint="default" w:ascii="仿宋_GB2312" w:hAnsi="Times New Roman" w:eastAsia="仿宋_GB2312" w:cs="仿宋_GB2312"/>
          <w:color w:val="000000" w:themeColor="text1"/>
          <w:sz w:val="32"/>
          <w:szCs w:val="32"/>
          <w14:textFill>
            <w14:solidFill>
              <w14:schemeClr w14:val="tx1"/>
            </w14:solidFill>
          </w14:textFill>
        </w:rPr>
        <w:t>台（套），主要原因是</w:t>
      </w:r>
      <w:r>
        <w:rPr>
          <w:rFonts w:hint="eastAsia" w:ascii="仿宋_GB2312" w:hAnsi="Times New Roman" w:eastAsia="仿宋_GB2312" w:cs="仿宋_GB2312"/>
          <w:color w:val="000000" w:themeColor="text1"/>
          <w:sz w:val="32"/>
          <w:szCs w:val="32"/>
          <w:lang w:eastAsia="zh-CN"/>
          <w14:textFill>
            <w14:solidFill>
              <w14:schemeClr w14:val="tx1"/>
            </w14:solidFill>
          </w14:textFill>
        </w:rPr>
        <w:t>无</w:t>
      </w:r>
      <w:r>
        <w:rPr>
          <w:rFonts w:hint="default" w:ascii="仿宋_GB2312" w:hAnsi="Times New Roman" w:eastAsia="仿宋_GB2312" w:cs="仿宋_GB2312"/>
          <w:color w:val="000000" w:themeColor="text1"/>
          <w:sz w:val="32"/>
          <w:szCs w:val="32"/>
          <w14:textFill>
            <w14:solidFill>
              <w14:schemeClr w14:val="tx1"/>
            </w14:solidFill>
          </w14:textFill>
        </w:rPr>
        <w:t>。</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b/>
          <w:bCs/>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第三部分 名词解释</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（一）财政拨款收入：指本年度从本级财政部门取得的财政拨款，包括一般公共预算财政拨款、政府性基金预算财政拨款和国有资本经营预算财政拨款。</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（二）事业收入：指事业单位开展专业业务活动及其辅助活动取得的收入；事业单位收到的财政专户实际核拨的教育收费等资金。</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（三）经营收入：指事业单位在专业业务活动及其辅助活动之外开展非独立核算经营活动取得的收入。</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（五）使用非财政拨款结余：指事业单位使用以前年度积累的非财政拨款结余弥补当年收支差额的金额。</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（六）年初结转和结余：</w:t>
      </w:r>
      <w:r>
        <w:rPr>
          <w:rFonts w:hint="default" w:ascii="仿宋_GB2312" w:hAnsi="Times New Roman" w:eastAsia="仿宋_GB2312" w:cs="仿宋_GB2312"/>
          <w:color w:val="000000" w:themeColor="text1"/>
          <w:sz w:val="32"/>
          <w:szCs w:val="32"/>
          <w:highlight w:val="white"/>
          <w14:textFill>
            <w14:solidFill>
              <w14:schemeClr w14:val="tx1"/>
            </w14:solidFill>
          </w14:textFill>
        </w:rPr>
        <w:t>指以前年度支出预算因客观条件变化未执行完毕、结转到本年度按有关规定继续使用的资金。</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（七）结余分配</w:t>
      </w:r>
      <w:r>
        <w:rPr>
          <w:rFonts w:hint="default" w:ascii="仿宋_GB2312" w:hAnsi="Times New Roman" w:eastAsia="仿宋_GB2312" w:cs="仿宋_GB2312"/>
          <w:color w:val="000000" w:themeColor="text1"/>
          <w:sz w:val="32"/>
          <w:szCs w:val="32"/>
          <w:highlight w:val="white"/>
          <w14:textFill>
            <w14:solidFill>
              <w14:schemeClr w14:val="tx1"/>
            </w14:solidFill>
          </w14:textFill>
        </w:rPr>
        <w:t>：指事业单位按照会计制度规定缴纳的所得税以及从非财政拨款结余中提取的职工福利基金、事业基金等。</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（八）年末结转和结余</w:t>
      </w:r>
      <w:r>
        <w:rPr>
          <w:rFonts w:hint="default" w:ascii="仿宋_GB2312" w:hAnsi="Times New Roman" w:eastAsia="仿宋_GB2312" w:cs="仿宋_GB2312"/>
          <w:color w:val="000000" w:themeColor="text1"/>
          <w:sz w:val="32"/>
          <w:szCs w:val="32"/>
          <w:highlight w:val="white"/>
          <w14:textFill>
            <w14:solidFill>
              <w14:schemeClr w14:val="tx1"/>
            </w14:solidFill>
          </w14:textFill>
        </w:rPr>
        <w:t>：指单位本年度或以前年度预算安排、因客观条件发生变化未全部执行或未执行，结转到以后年度继续使用的资金，或项目已完成等产生的结余资金。</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（九）基本支出：指为保障机构正常运转、完成日常工作任务而发生的人员经费和公用经费。其中：人员经费指政府收支分类经济科目中的</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工资福利支出</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和</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对个人和家庭的补助</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；公用经费指政府收支分类经济科目中除</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工资福利支出</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和</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对个人和家庭的补助</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外的其他支出。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（十）项目支出：指在基本支出之外为完成特定任务和事业发展目标所发生的支出。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（十一）经营支出：指事业单位在专业业务活动及其辅助活动之外开展非独立核算经营活动发生的支出。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（十二）</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14:textFill>
            <w14:solidFill>
              <w14:schemeClr w14:val="tx1"/>
            </w14:solidFill>
          </w14:textFill>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widowControl/>
        <w:suppressLineNumbers w:val="0"/>
        <w:adjustRightInd w:val="0"/>
        <w:spacing w:before="0" w:beforeAutospacing="1" w:after="0" w:afterAutospacing="1" w:line="580" w:lineRule="exact"/>
        <w:ind w:left="0" w:right="0" w:firstLine="600"/>
        <w:rPr>
          <w:rFonts w:hint="default" w:ascii="仿宋_GB2312" w:hAnsi="Times New Roman" w:eastAsia="仿宋_GB2312" w:cs="仿宋_GB2312"/>
          <w:color w:val="000000" w:themeColor="text1"/>
          <w:sz w:val="32"/>
          <w:szCs w:val="32"/>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（十三）机关运行经费：指行政单位和参照公务员法管理的事业单位使用一般公共预算财政拨款安排的基本支出中的日常公用经费支出。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（十四）工资福利支出（支出经济分类科目类级）：反映单位开支的在职职工和编制外长期聘用人员的各类劳动报酬，以及为上述人员缴纳的各项社会保险费等。</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（十五）商品和服务支出（支出经济分类科目类级）：反映单位购买商品和服务的支出（不包括用于购置固定资产的支出、战略性和应急储备支出）。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（十六）对个人和家庭的补助（支出经济分类科目类级）：反映用于对个人和家庭的补助支出。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b/>
          <w:bCs/>
          <w:color w:val="000000" w:themeColor="text1"/>
          <w:sz w:val="32"/>
          <w:szCs w:val="32"/>
          <w:lang w:val="en-US"/>
          <w14:textFill>
            <w14:solidFill>
              <w14:schemeClr w14:val="tx1"/>
            </w14:solidFill>
          </w14:textFill>
        </w:rPr>
      </w:pPr>
      <w:r>
        <w:rPr>
          <w:rFonts w:hint="default" w:ascii="仿宋_GB2312" w:hAnsi="Times New Roman" w:eastAsia="仿宋_GB2312" w:cs="仿宋_GB2312"/>
          <w:b/>
          <w:bCs/>
          <w:color w:val="000000" w:themeColor="text1"/>
          <w:sz w:val="32"/>
          <w:szCs w:val="32"/>
          <w14:textFill>
            <w14:solidFill>
              <w14:schemeClr w14:val="tx1"/>
            </w14:solidFill>
          </w14:textFill>
        </w:rPr>
        <w:t>第四部分 决算公开联系方式及信息反馈渠道</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本单位决算公开信息反馈和联系方式：</w:t>
      </w:r>
    </w:p>
    <w:p>
      <w:pPr>
        <w:keepNext w:val="0"/>
        <w:keepLines w:val="0"/>
        <w:widowControl/>
        <w:suppressLineNumbers w:val="0"/>
        <w:adjustRightInd w:val="0"/>
        <w:spacing w:before="0" w:beforeAutospacing="1" w:after="0" w:afterAutospacing="1" w:line="580" w:lineRule="exact"/>
        <w:ind w:left="0" w:right="0" w:firstLine="600"/>
        <w:rPr>
          <w:rFonts w:hint="default" w:ascii="Times New Roman" w:hAnsi="Times New Roman" w:eastAsia="仿宋_GB2312" w:cs="Times New Roman"/>
          <w:b/>
          <w:bCs/>
          <w:color w:val="000000" w:themeColor="text1"/>
          <w:sz w:val="36"/>
          <w:szCs w:val="36"/>
          <w:lang w:val="en-US" w:eastAsia="zh-CN"/>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徐秀英</w:t>
      </w:r>
      <w:r>
        <w:rPr>
          <w:rFonts w:hint="default" w:ascii="仿宋_GB2312" w:hAnsi="Times New Roman" w:eastAsia="仿宋_GB2312" w:cs="仿宋_GB2312"/>
          <w:color w:val="000000" w:themeColor="text1"/>
          <w:sz w:val="32"/>
          <w:szCs w:val="32"/>
          <w:lang w:val="en-US"/>
          <w14:textFill>
            <w14:solidFill>
              <w14:schemeClr w14:val="tx1"/>
            </w14:solidFill>
          </w14:textFill>
        </w:rPr>
        <w:t xml:space="preserve">   </w:t>
      </w:r>
      <w:r>
        <w:rPr>
          <w:rFonts w:hint="default" w:ascii="仿宋_GB2312" w:hAnsi="Times New Roman" w:eastAsia="仿宋_GB2312" w:cs="仿宋_GB2312"/>
          <w:color w:val="000000" w:themeColor="text1"/>
          <w:sz w:val="32"/>
          <w:szCs w:val="32"/>
          <w14:textFill>
            <w14:solidFill>
              <w14:schemeClr w14:val="tx1"/>
            </w14:solidFill>
          </w14:textFill>
        </w:rPr>
        <w:t>联系电话：</w:t>
      </w:r>
      <w:r>
        <w:rPr>
          <w:rFonts w:hint="default" w:ascii="仿宋_GB2312" w:hAnsi="仿宋_GB2312" w:eastAsia="仿宋_GB2312" w:cs="仿宋_GB2312"/>
          <w:color w:val="000000" w:themeColor="text1"/>
          <w:sz w:val="30"/>
          <w:szCs w:val="30"/>
          <w14:textFill>
            <w14:solidFill>
              <w14:schemeClr w14:val="tx1"/>
            </w14:solidFill>
          </w14:textFill>
        </w:rPr>
        <w:t>0472</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仿宋_GB2312" w:hAnsi="Times New Roman" w:eastAsia="仿宋_GB2312" w:cs="仿宋_GB2312"/>
          <w:color w:val="000000" w:themeColor="text1"/>
          <w:sz w:val="32"/>
          <w:szCs w:val="32"/>
          <w:lang w:val="en-US"/>
          <w14:textFill>
            <w14:solidFill>
              <w14:schemeClr w14:val="tx1"/>
            </w14:solidFill>
          </w14:textFill>
        </w:rPr>
        <w:t>2836</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804</w:t>
      </w:r>
    </w:p>
    <w:p>
      <w:pPr>
        <w:keepNext w:val="0"/>
        <w:keepLines w:val="0"/>
        <w:widowControl/>
        <w:suppressLineNumbers w:val="0"/>
        <w:adjustRightInd w:val="0"/>
        <w:spacing w:before="0" w:beforeAutospacing="1" w:after="0" w:afterAutospacing="1"/>
        <w:ind w:left="0" w:right="0"/>
        <w:jc w:val="left"/>
        <w:rPr>
          <w:rFonts w:hint="default" w:ascii="Times New Roman" w:hAnsi="Times New Roman" w:eastAsia="仿宋_GB2312" w:cs="Times New Roman"/>
          <w:b/>
          <w:bCs/>
          <w:color w:val="000000" w:themeColor="text1"/>
          <w:sz w:val="36"/>
          <w:szCs w:val="36"/>
          <w:lang w:val="en-US"/>
          <w14:textFill>
            <w14:solidFill>
              <w14:schemeClr w14:val="tx1"/>
            </w14:solidFill>
          </w14:textFill>
        </w:rPr>
      </w:pP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F72BB"/>
    <w:multiLevelType w:val="singleLevel"/>
    <w:tmpl w:val="D0CF72BB"/>
    <w:lvl w:ilvl="0" w:tentative="0">
      <w:start w:val="1"/>
      <w:numFmt w:val="decimal"/>
      <w:lvlText w:val="%1."/>
      <w:lvlJc w:val="left"/>
      <w:pPr>
        <w:tabs>
          <w:tab w:val="left" w:pos="312"/>
        </w:tabs>
      </w:pPr>
    </w:lvl>
  </w:abstractNum>
  <w:abstractNum w:abstractNumId="1">
    <w:nsid w:val="26796966"/>
    <w:multiLevelType w:val="singleLevel"/>
    <w:tmpl w:val="26796966"/>
    <w:lvl w:ilvl="0" w:tentative="0">
      <w:start w:val="2"/>
      <w:numFmt w:val="chineseCounting"/>
      <w:suff w:val="nothing"/>
      <w:lvlText w:val="%1、"/>
      <w:lvlJc w:val="left"/>
      <w:pPr>
        <w:ind w:left="240"/>
      </w:pPr>
      <w:rPr>
        <w:rFonts w:hint="eastAsia"/>
      </w:rPr>
    </w:lvl>
  </w:abstractNum>
  <w:abstractNum w:abstractNumId="2">
    <w:nsid w:val="4F735869"/>
    <w:multiLevelType w:val="singleLevel"/>
    <w:tmpl w:val="4F735869"/>
    <w:lvl w:ilvl="0" w:tentative="0">
      <w:start w:val="1"/>
      <w:numFmt w:val="chineseCounting"/>
      <w:suff w:val="nothing"/>
      <w:lvlText w:val="（%1）"/>
      <w:lvlJc w:val="left"/>
      <w:rPr>
        <w:rFonts w:hint="eastAsia"/>
      </w:rPr>
    </w:lvl>
  </w:abstractNum>
  <w:abstractNum w:abstractNumId="3">
    <w:nsid w:val="6073C1FD"/>
    <w:multiLevelType w:val="multilevel"/>
    <w:tmpl w:val="6073C1FD"/>
    <w:lvl w:ilvl="0" w:tentative="0">
      <w:start w:val="3"/>
      <w:numFmt w:val="chineseCounting"/>
      <w:suff w:val="nothing"/>
      <w:lvlText w:val="（%1）"/>
      <w:lvlJc w:val="left"/>
      <w:pPr>
        <w:ind w:left="641"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607F8"/>
    <w:rsid w:val="169404BF"/>
    <w:rsid w:val="16B23B39"/>
    <w:rsid w:val="1D943944"/>
    <w:rsid w:val="27A01C97"/>
    <w:rsid w:val="2BF757E1"/>
    <w:rsid w:val="314A0092"/>
    <w:rsid w:val="378B5F39"/>
    <w:rsid w:val="37AF5F3E"/>
    <w:rsid w:val="396A67CF"/>
    <w:rsid w:val="3CEE0CE3"/>
    <w:rsid w:val="3DD1570D"/>
    <w:rsid w:val="3E471815"/>
    <w:rsid w:val="3E491DCE"/>
    <w:rsid w:val="41881A4B"/>
    <w:rsid w:val="4A6E4CB8"/>
    <w:rsid w:val="530F6FAB"/>
    <w:rsid w:val="536B6328"/>
    <w:rsid w:val="5BD14040"/>
    <w:rsid w:val="5CF751FD"/>
    <w:rsid w:val="5DC019AC"/>
    <w:rsid w:val="6709669E"/>
    <w:rsid w:val="685C1D72"/>
    <w:rsid w:val="6D1B169F"/>
    <w:rsid w:val="733E1619"/>
    <w:rsid w:val="7706242A"/>
    <w:rsid w:val="779F1B3A"/>
    <w:rsid w:val="7B8F280E"/>
    <w:rsid w:val="7BF72207"/>
    <w:rsid w:val="7CCE58B9"/>
    <w:rsid w:val="7D1312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customStyle="1" w:styleId="13">
    <w:name w:val="10"/>
    <w:basedOn w:val="11"/>
    <w:qFormat/>
    <w:uiPriority w:val="0"/>
    <w:rPr>
      <w:rFonts w:hint="default" w:ascii="Times New Roman" w:hAnsi="Times New Roman" w:cs="Times New Roman"/>
    </w:rPr>
  </w:style>
  <w:style w:type="character" w:customStyle="1" w:styleId="14">
    <w:name w:val="15"/>
    <w:basedOn w:val="11"/>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37</TotalTime>
  <ScaleCrop>false</ScaleCrop>
  <LinksUpToDate>false</LinksUpToDate>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2021-12-09T02:55:00Z</dcterms:created>
  <dc:creator>aa</dc:creator>
  <cp:lastModifiedBy>zwkfydukk</cp:lastModifiedBy>
  <dcterms:modified xsi:type="dcterms:W3CDTF">2021-12-24T10:58:09Z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9C90DDAC059244639186C647BD1A8E30</vt:lpwstr>
  </property>
</Properties>
</file>