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昆都仑区“十三五”房地产发展规划</w:t>
      </w:r>
    </w:p>
    <w:p>
      <w:pPr>
        <w:numPr>
          <w:ilvl w:val="0"/>
          <w:numId w:val="1"/>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“十二五”发展成效和“十三五”面临的形式</w:t>
      </w:r>
      <w:r>
        <w:rPr>
          <w:rFonts w:hint="eastAsia" w:ascii="黑体" w:hAnsi="黑体" w:eastAsia="黑体" w:cs="黑体"/>
          <w:sz w:val="32"/>
          <w:szCs w:val="32"/>
          <w:u w:val="none"/>
          <w:lang w:val="en-US" w:eastAsia="zh-CN"/>
        </w:rPr>
        <w:t>......</w:t>
      </w:r>
      <w:r>
        <w:rPr>
          <w:rFonts w:hint="eastAsia" w:ascii="黑体" w:hAnsi="黑体" w:eastAsia="黑体" w:cs="黑体"/>
          <w:sz w:val="32"/>
          <w:szCs w:val="32"/>
          <w:lang w:val="en-US" w:eastAsia="zh-CN"/>
        </w:rPr>
        <w:t>1</w:t>
      </w:r>
    </w:p>
    <w:p>
      <w:pPr>
        <w:numPr>
          <w:ilvl w:val="0"/>
          <w:numId w:val="1"/>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总体要求......................................1</w:t>
      </w:r>
    </w:p>
    <w:p>
      <w:pPr>
        <w:numPr>
          <w:ilvl w:val="0"/>
          <w:numId w:val="0"/>
        </w:numPr>
        <w:jc w:val="left"/>
        <w:rPr>
          <w:rFonts w:hint="eastAsia" w:ascii="楷体_GB2312" w:hAnsi="楷体_GB2312" w:eastAsia="楷体_GB2312" w:cs="楷体_GB2312"/>
          <w:sz w:val="32"/>
          <w:szCs w:val="32"/>
          <w:lang w:val="en-US" w:eastAsia="zh-CN"/>
        </w:rPr>
      </w:pP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（一）指导思想..................................2</w:t>
      </w:r>
    </w:p>
    <w:p>
      <w:pPr>
        <w:numPr>
          <w:ilvl w:val="0"/>
          <w:numId w:val="0"/>
        </w:numPr>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（二）总体目标..................................2</w:t>
      </w:r>
    </w:p>
    <w:p>
      <w:pPr>
        <w:numPr>
          <w:ilvl w:val="0"/>
          <w:numId w:val="0"/>
        </w:numPr>
        <w:jc w:val="left"/>
        <w:rPr>
          <w:rFonts w:hint="eastAsia" w:ascii="黑体" w:hAnsi="黑体" w:eastAsia="黑体" w:cs="黑体"/>
          <w:sz w:val="32"/>
          <w:szCs w:val="32"/>
          <w:lang w:val="en-US" w:eastAsia="zh-CN"/>
        </w:rPr>
      </w:pPr>
      <w:r>
        <w:rPr>
          <w:rFonts w:hint="eastAsia" w:ascii="楷体_GB2312" w:hAnsi="楷体_GB2312" w:eastAsia="楷体_GB2312" w:cs="楷体_GB2312"/>
          <w:sz w:val="32"/>
          <w:szCs w:val="32"/>
          <w:lang w:val="en-US" w:eastAsia="zh-CN"/>
        </w:rPr>
        <w:t xml:space="preserve">  （三）基本原则..................................2</w:t>
      </w:r>
    </w:p>
    <w:p>
      <w:pPr>
        <w:numPr>
          <w:ilvl w:val="0"/>
          <w:numId w:val="1"/>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重点工作任务..................................2</w:t>
      </w:r>
    </w:p>
    <w:p>
      <w:pPr>
        <w:numPr>
          <w:ilvl w:val="0"/>
          <w:numId w:val="0"/>
        </w:numPr>
        <w:jc w:val="left"/>
        <w:rPr>
          <w:rFonts w:hint="eastAsia" w:ascii="楷体_GB2312" w:hAnsi="楷体_GB2312" w:eastAsia="楷体_GB2312" w:cs="楷体_GB2312"/>
          <w:sz w:val="32"/>
          <w:szCs w:val="32"/>
          <w:lang w:val="en-US" w:eastAsia="zh-CN"/>
        </w:rPr>
      </w:pP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（一）棚户区（城中村）改造工程..................3</w:t>
      </w:r>
    </w:p>
    <w:p>
      <w:pPr>
        <w:numPr>
          <w:ilvl w:val="0"/>
          <w:numId w:val="0"/>
        </w:numPr>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（二）旧小区综合治理改造........................3</w:t>
      </w:r>
    </w:p>
    <w:p>
      <w:pPr>
        <w:numPr>
          <w:ilvl w:val="0"/>
          <w:numId w:val="0"/>
        </w:numPr>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（三）公共租赁住房分配和廉租补贴发放.............3</w:t>
      </w:r>
    </w:p>
    <w:p>
      <w:pPr>
        <w:numPr>
          <w:ilvl w:val="0"/>
          <w:numId w:val="1"/>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保障措施......................................3</w:t>
      </w:r>
    </w:p>
    <w:p>
      <w:pPr>
        <w:numPr>
          <w:ilvl w:val="0"/>
          <w:numId w:val="0"/>
        </w:numPr>
        <w:jc w:val="left"/>
        <w:rPr>
          <w:rFonts w:hint="eastAsia" w:ascii="楷体_GB2312" w:hAnsi="楷体_GB2312" w:eastAsia="楷体_GB2312" w:cs="楷体_GB2312"/>
          <w:b w:val="0"/>
          <w:i w:val="0"/>
          <w:caps w:val="0"/>
          <w:color w:val="000000"/>
          <w:spacing w:val="0"/>
          <w:sz w:val="32"/>
          <w:szCs w:val="32"/>
        </w:rPr>
      </w:pP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b w:val="0"/>
          <w:i w:val="0"/>
          <w:caps w:val="0"/>
          <w:color w:val="000000"/>
          <w:spacing w:val="0"/>
          <w:sz w:val="32"/>
          <w:szCs w:val="32"/>
        </w:rPr>
        <w:t>积极争取政策资金，深入推进保障性住房建设有序发展</w:t>
      </w:r>
      <w:r>
        <w:rPr>
          <w:rFonts w:hint="eastAsia" w:ascii="楷体_GB2312" w:hAnsi="楷体_GB2312" w:eastAsia="楷体_GB2312" w:cs="楷体_GB2312"/>
          <w:b w:val="0"/>
          <w:i w:val="0"/>
          <w:caps w:val="0"/>
          <w:color w:val="000000"/>
          <w:spacing w:val="0"/>
          <w:sz w:val="32"/>
          <w:szCs w:val="32"/>
          <w:lang w:val="en-US" w:eastAsia="zh-CN"/>
        </w:rPr>
        <w:t>............................................4</w:t>
      </w:r>
      <w:bookmarkStart w:id="0" w:name="_GoBack"/>
      <w:bookmarkEnd w:id="0"/>
    </w:p>
    <w:p>
      <w:pPr>
        <w:numPr>
          <w:ilvl w:val="0"/>
          <w:numId w:val="0"/>
        </w:numPr>
        <w:jc w:val="left"/>
        <w:rPr>
          <w:rFonts w:hint="eastAsia" w:ascii="楷体_GB2312" w:hAnsi="楷体_GB2312" w:eastAsia="楷体_GB2312" w:cs="楷体_GB2312"/>
          <w:b w:val="0"/>
          <w:i w:val="0"/>
          <w:caps w:val="0"/>
          <w:color w:val="000000"/>
          <w:spacing w:val="0"/>
          <w:sz w:val="32"/>
          <w:szCs w:val="32"/>
          <w:lang w:val="en-US" w:eastAsia="zh-CN"/>
        </w:rPr>
      </w:pPr>
      <w:r>
        <w:rPr>
          <w:rFonts w:hint="eastAsia" w:ascii="楷体_GB2312" w:hAnsi="楷体_GB2312" w:eastAsia="楷体_GB2312" w:cs="楷体_GB2312"/>
          <w:b w:val="0"/>
          <w:i w:val="0"/>
          <w:caps w:val="0"/>
          <w:color w:val="000000"/>
          <w:spacing w:val="0"/>
          <w:sz w:val="32"/>
          <w:szCs w:val="32"/>
          <w:lang w:val="en-US" w:eastAsia="zh-CN"/>
        </w:rPr>
        <w:t xml:space="preserve">   （二）</w:t>
      </w:r>
      <w:r>
        <w:rPr>
          <w:rFonts w:ascii="楷体" w:hAnsi="楷体" w:eastAsia="楷体" w:cs="楷体"/>
          <w:b w:val="0"/>
          <w:i w:val="0"/>
          <w:caps w:val="0"/>
          <w:color w:val="000000"/>
          <w:spacing w:val="0"/>
          <w:sz w:val="32"/>
          <w:szCs w:val="32"/>
        </w:rPr>
        <w:t>精心谋划，进一步</w:t>
      </w:r>
      <w:r>
        <w:rPr>
          <w:rFonts w:hint="default" w:ascii="楷体" w:hAnsi="楷体" w:eastAsia="楷体" w:cs="楷体"/>
          <w:b w:val="0"/>
          <w:i w:val="0"/>
          <w:caps w:val="0"/>
          <w:color w:val="000000"/>
          <w:spacing w:val="0"/>
          <w:sz w:val="32"/>
          <w:szCs w:val="32"/>
        </w:rPr>
        <w:t>推进老旧小区综合治理改造</w:t>
      </w:r>
      <w:r>
        <w:rPr>
          <w:rFonts w:hint="eastAsia" w:ascii="楷体" w:hAnsi="楷体" w:eastAsia="楷体" w:cs="楷体"/>
          <w:b w:val="0"/>
          <w:i w:val="0"/>
          <w:caps w:val="0"/>
          <w:color w:val="000000"/>
          <w:spacing w:val="0"/>
          <w:sz w:val="32"/>
          <w:szCs w:val="32"/>
          <w:lang w:val="en-US" w:eastAsia="zh-CN"/>
        </w:rPr>
        <w:t>..4</w:t>
      </w:r>
    </w:p>
    <w:p>
      <w:pPr>
        <w:widowControl w:val="0"/>
        <w:numPr>
          <w:ilvl w:val="0"/>
          <w:numId w:val="0"/>
        </w:numPr>
        <w:jc w:val="left"/>
        <w:rPr>
          <w:rFonts w:hint="eastAsia" w:ascii="黑体" w:hAnsi="黑体" w:eastAsia="黑体" w:cs="黑体"/>
          <w:sz w:val="32"/>
          <w:szCs w:val="32"/>
          <w:lang w:val="en-US" w:eastAsia="zh-CN"/>
        </w:rPr>
      </w:pPr>
    </w:p>
    <w:p>
      <w:pPr>
        <w:widowControl w:val="0"/>
        <w:numPr>
          <w:ilvl w:val="0"/>
          <w:numId w:val="0"/>
        </w:numPr>
        <w:jc w:val="left"/>
        <w:rPr>
          <w:rFonts w:hint="eastAsia" w:ascii="黑体" w:hAnsi="黑体" w:eastAsia="黑体" w:cs="黑体"/>
          <w:sz w:val="32"/>
          <w:szCs w:val="32"/>
          <w:lang w:val="en-US" w:eastAsia="zh-CN"/>
        </w:rPr>
      </w:pPr>
    </w:p>
    <w:p>
      <w:pPr>
        <w:widowControl w:val="0"/>
        <w:numPr>
          <w:ilvl w:val="0"/>
          <w:numId w:val="0"/>
        </w:numPr>
        <w:jc w:val="left"/>
        <w:rPr>
          <w:rFonts w:hint="eastAsia" w:ascii="黑体" w:hAnsi="黑体" w:eastAsia="黑体" w:cs="黑体"/>
          <w:sz w:val="32"/>
          <w:szCs w:val="32"/>
          <w:lang w:val="en-US" w:eastAsia="zh-CN"/>
        </w:rPr>
      </w:pPr>
    </w:p>
    <w:p>
      <w:pPr>
        <w:widowControl w:val="0"/>
        <w:numPr>
          <w:ilvl w:val="0"/>
          <w:numId w:val="0"/>
        </w:numPr>
        <w:jc w:val="left"/>
        <w:rPr>
          <w:rFonts w:hint="eastAsia" w:ascii="黑体" w:hAnsi="黑体" w:eastAsia="黑体" w:cs="黑体"/>
          <w:sz w:val="32"/>
          <w:szCs w:val="32"/>
          <w:lang w:val="en-US" w:eastAsia="zh-CN"/>
        </w:rPr>
      </w:pPr>
    </w:p>
    <w:p>
      <w:pPr>
        <w:widowControl w:val="0"/>
        <w:numPr>
          <w:ilvl w:val="0"/>
          <w:numId w:val="0"/>
        </w:numPr>
        <w:jc w:val="left"/>
        <w:rPr>
          <w:rFonts w:hint="eastAsia" w:ascii="黑体" w:hAnsi="黑体" w:eastAsia="黑体" w:cs="黑体"/>
          <w:sz w:val="32"/>
          <w:szCs w:val="32"/>
          <w:lang w:val="en-US" w:eastAsia="zh-CN"/>
        </w:rPr>
      </w:pPr>
    </w:p>
    <w:p>
      <w:pPr>
        <w:widowControl w:val="0"/>
        <w:numPr>
          <w:ilvl w:val="0"/>
          <w:numId w:val="0"/>
        </w:numPr>
        <w:jc w:val="left"/>
        <w:rPr>
          <w:rFonts w:hint="eastAsia" w:ascii="黑体" w:hAnsi="黑体" w:eastAsia="黑体" w:cs="黑体"/>
          <w:sz w:val="32"/>
          <w:szCs w:val="32"/>
          <w:lang w:val="en-US" w:eastAsia="zh-CN"/>
        </w:rPr>
      </w:pPr>
    </w:p>
    <w:p>
      <w:pPr>
        <w:widowControl w:val="0"/>
        <w:numPr>
          <w:ilvl w:val="0"/>
          <w:numId w:val="0"/>
        </w:numPr>
        <w:jc w:val="left"/>
        <w:rPr>
          <w:rFonts w:hint="eastAsia" w:ascii="黑体" w:hAnsi="黑体" w:eastAsia="黑体" w:cs="黑体"/>
          <w:sz w:val="32"/>
          <w:szCs w:val="32"/>
          <w:lang w:val="en-US" w:eastAsia="zh-CN"/>
        </w:rPr>
      </w:pPr>
    </w:p>
    <w:p>
      <w:pPr>
        <w:widowControl w:val="0"/>
        <w:numPr>
          <w:ilvl w:val="0"/>
          <w:numId w:val="0"/>
        </w:numPr>
        <w:jc w:val="left"/>
        <w:rPr>
          <w:rFonts w:hint="eastAsia" w:ascii="黑体" w:hAnsi="黑体" w:eastAsia="黑体" w:cs="黑体"/>
          <w:sz w:val="32"/>
          <w:szCs w:val="32"/>
          <w:lang w:val="en-US" w:eastAsia="zh-CN"/>
        </w:rPr>
      </w:pPr>
    </w:p>
    <w:p>
      <w:pPr>
        <w:widowControl w:val="0"/>
        <w:numPr>
          <w:ilvl w:val="0"/>
          <w:numId w:val="0"/>
        </w:numPr>
        <w:jc w:val="center"/>
        <w:rPr>
          <w:rFonts w:hint="eastAsia"/>
          <w:sz w:val="44"/>
          <w:szCs w:val="44"/>
          <w:lang w:val="en-US" w:eastAsia="zh-CN"/>
        </w:rPr>
        <w:sectPr>
          <w:pgSz w:w="11906" w:h="16838"/>
          <w:pgMar w:top="1440" w:right="1800" w:bottom="1440" w:left="1800" w:header="851" w:footer="992" w:gutter="0"/>
          <w:pgNumType w:fmt="decimal" w:start="0"/>
          <w:cols w:space="425" w:num="1"/>
          <w:docGrid w:type="lines" w:linePitch="312" w:charSpace="0"/>
        </w:sectPr>
      </w:pPr>
    </w:p>
    <w:p>
      <w:pPr>
        <w:widowControl w:val="0"/>
        <w:numPr>
          <w:ilvl w:val="0"/>
          <w:numId w:val="0"/>
        </w:numPr>
        <w:jc w:val="center"/>
        <w:rPr>
          <w:rFonts w:hint="eastAsia"/>
          <w:sz w:val="44"/>
          <w:szCs w:val="44"/>
          <w:lang w:val="en-US" w:eastAsia="zh-CN"/>
        </w:rPr>
      </w:pPr>
      <w:r>
        <w:rPr>
          <w:rFonts w:hint="eastAsia"/>
          <w:sz w:val="44"/>
          <w:szCs w:val="44"/>
          <w:lang w:val="en-US" w:eastAsia="zh-CN"/>
        </w:rPr>
        <w:t>昆都仑区“十三五”房地产发展规划</w:t>
      </w:r>
    </w:p>
    <w:p>
      <w:pPr>
        <w:widowControl w:val="0"/>
        <w:numPr>
          <w:ilvl w:val="0"/>
          <w:numId w:val="0"/>
        </w:num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(2015</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sz w:val="32"/>
          <w:szCs w:val="32"/>
          <w:lang w:val="en-US" w:eastAsia="zh-CN"/>
        </w:rPr>
        <w:t>2020年)</w:t>
      </w:r>
    </w:p>
    <w:p>
      <w:pPr>
        <w:widowControl w:val="0"/>
        <w:numPr>
          <w:ilvl w:val="0"/>
          <w:numId w:val="2"/>
        </w:numPr>
        <w:ind w:left="0" w:leftChars="0" w:firstLine="838" w:firstLineChars="262"/>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“十二五”发展成效和“十三五”面临的形式</w:t>
      </w:r>
    </w:p>
    <w:p>
      <w:pPr>
        <w:widowControl w:val="0"/>
        <w:numPr>
          <w:ilvl w:val="0"/>
          <w:numId w:val="0"/>
        </w:numPr>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十二五”时期，面对复杂的宏观经济形势和艰巨繁重的改革发展稳定任务，认真贯彻落实自治区“8337”发展思路和包头市“5421”战略定位，扎实做好保障和改善民生工作，切实解决事关群众切身利益的问题。城市、城乡二元结构矛盾突出需要加快我区棚户区改造工作的具体措施，进一步提高公共基础设施建设，积极主动争取上级补助资金，不断创新融资模式，拓宽融资渠道，仍是房地产发展的短板。</w:t>
      </w:r>
    </w:p>
    <w:p>
      <w:pPr>
        <w:widowControl w:val="0"/>
        <w:numPr>
          <w:ilvl w:val="0"/>
          <w:numId w:val="0"/>
        </w:numPr>
        <w:ind w:firstLine="640"/>
        <w:jc w:val="left"/>
        <w:rPr>
          <w:rFonts w:hint="eastAsia" w:ascii="仿宋_GB2312" w:hAnsi="仿宋" w:eastAsia="仿宋_GB2312" w:cs="仿宋"/>
          <w:color w:val="auto"/>
          <w:sz w:val="32"/>
          <w:szCs w:val="32"/>
          <w:lang w:eastAsia="zh-CN"/>
        </w:rPr>
      </w:pPr>
      <w:r>
        <w:rPr>
          <w:rFonts w:hint="eastAsia" w:ascii="仿宋_GB2312" w:hAnsi="仿宋_GB2312" w:eastAsia="仿宋_GB2312" w:cs="仿宋_GB2312"/>
          <w:sz w:val="32"/>
          <w:szCs w:val="32"/>
          <w:lang w:val="en-US" w:eastAsia="zh-CN"/>
        </w:rPr>
        <w:t>“十三五”时期，</w:t>
      </w:r>
      <w:r>
        <w:rPr>
          <w:rFonts w:hint="eastAsia" w:ascii="仿宋_GB2312" w:hAnsi="仿宋" w:eastAsia="仿宋_GB2312" w:cs="仿宋"/>
          <w:color w:val="auto"/>
          <w:sz w:val="32"/>
          <w:szCs w:val="32"/>
        </w:rPr>
        <w:t>是全面建成小康社会、全面深化改革、全面依法治国的关键时期，是我国经济发展进入新常态，保持经济稳定持续健康发展的重要时期。国家“一带一路”、“京津冀协同发展”、自治区“向北开放”和我市“重要战略支点”等一系列发展战略将付诸实施，</w:t>
      </w:r>
      <w:r>
        <w:rPr>
          <w:rFonts w:hint="eastAsia" w:ascii="仿宋_GB2312" w:hAnsi="仿宋" w:eastAsia="仿宋_GB2312" w:cs="仿宋"/>
          <w:color w:val="auto"/>
          <w:sz w:val="32"/>
          <w:szCs w:val="32"/>
          <w:lang w:eastAsia="zh-CN"/>
        </w:rPr>
        <w:t>房地产</w:t>
      </w:r>
      <w:r>
        <w:rPr>
          <w:rFonts w:hint="eastAsia" w:ascii="仿宋_GB2312" w:hAnsi="仿宋" w:eastAsia="仿宋_GB2312" w:cs="仿宋"/>
          <w:color w:val="auto"/>
          <w:sz w:val="32"/>
          <w:szCs w:val="32"/>
        </w:rPr>
        <w:t>发展面临新形势、新任务、新机遇和新挑战。加快转变发展方式，发挥优势，加快发展现代服务业</w:t>
      </w:r>
      <w:r>
        <w:rPr>
          <w:rFonts w:hint="eastAsia" w:ascii="仿宋_GB2312" w:hAnsi="仿宋" w:eastAsia="仿宋_GB2312" w:cs="仿宋"/>
          <w:color w:val="auto"/>
          <w:sz w:val="32"/>
          <w:szCs w:val="32"/>
          <w:lang w:eastAsia="zh-CN"/>
        </w:rPr>
        <w:t>，推进政府和社会资本合作（</w:t>
      </w:r>
      <w:r>
        <w:rPr>
          <w:rFonts w:hint="eastAsia" w:ascii="仿宋_GB2312" w:hAnsi="仿宋" w:eastAsia="仿宋_GB2312" w:cs="仿宋"/>
          <w:color w:val="auto"/>
          <w:sz w:val="32"/>
          <w:szCs w:val="32"/>
          <w:lang w:val="en-US" w:eastAsia="zh-CN"/>
        </w:rPr>
        <w:t>PPP</w:t>
      </w:r>
      <w:r>
        <w:rPr>
          <w:rFonts w:hint="eastAsia" w:ascii="仿宋_GB2312" w:hAnsi="仿宋" w:eastAsia="仿宋_GB2312" w:cs="仿宋"/>
          <w:color w:val="auto"/>
          <w:sz w:val="32"/>
          <w:szCs w:val="32"/>
          <w:lang w:eastAsia="zh-CN"/>
        </w:rPr>
        <w:t>）模式，加大融资力度，着力改善城市、城乡二元结构，积极推进城市老旧小区改造，加快城中村（城边村）城市化建设步伐，加强环境治理、房屋维修和物业管理，提高居民生活居住环境和公共服务水平，促进城市功能全面提升。</w:t>
      </w:r>
    </w:p>
    <w:p>
      <w:pPr>
        <w:widowControl w:val="0"/>
        <w:numPr>
          <w:ilvl w:val="0"/>
          <w:numId w:val="2"/>
        </w:numPr>
        <w:ind w:left="0" w:leftChars="0" w:firstLine="640" w:firstLineChars="262"/>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总体要求</w:t>
      </w:r>
    </w:p>
    <w:p>
      <w:pPr>
        <w:widowControl w:val="0"/>
        <w:numPr>
          <w:ilvl w:val="0"/>
          <w:numId w:val="3"/>
        </w:numPr>
        <w:ind w:leftChars="262"/>
        <w:jc w:val="left"/>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指导思想</w:t>
      </w:r>
    </w:p>
    <w:p>
      <w:pPr>
        <w:widowControl w:val="0"/>
        <w:numPr>
          <w:ilvl w:val="0"/>
          <w:numId w:val="0"/>
        </w:numPr>
        <w:ind w:firstLine="640"/>
        <w:jc w:val="left"/>
        <w:rPr>
          <w:rFonts w:hint="eastAsia" w:ascii="仿宋_GB2312" w:hAnsi="仿宋" w:eastAsia="仿宋_GB2312" w:cs="仿宋"/>
          <w:color w:val="auto"/>
          <w:sz w:val="32"/>
          <w:szCs w:val="32"/>
          <w:lang w:eastAsia="zh-CN"/>
        </w:rPr>
      </w:pPr>
      <w:r>
        <w:rPr>
          <w:rFonts w:hint="eastAsia" w:ascii="仿宋_GB2312" w:hAnsi="仿宋_GB2312" w:eastAsia="仿宋_GB2312" w:cs="仿宋_GB2312"/>
          <w:sz w:val="32"/>
          <w:szCs w:val="32"/>
          <w:lang w:val="en-US" w:eastAsia="zh-CN"/>
        </w:rPr>
        <w:t>认真贯彻落实自治区“8337”发展思路和包头市“5421”战略定位，</w:t>
      </w:r>
      <w:r>
        <w:rPr>
          <w:rFonts w:hint="eastAsia" w:ascii="仿宋_GB2312" w:hAnsi="仿宋" w:eastAsia="仿宋_GB2312" w:cs="仿宋"/>
          <w:bCs/>
          <w:color w:val="auto"/>
          <w:sz w:val="32"/>
          <w:szCs w:val="32"/>
        </w:rPr>
        <w:t>坚持稳中求进工作总基调，</w:t>
      </w:r>
      <w:r>
        <w:rPr>
          <w:rFonts w:hint="eastAsia" w:ascii="仿宋_GB2312" w:hAnsi="仿宋" w:eastAsia="仿宋_GB2312" w:cs="仿宋"/>
          <w:color w:val="auto"/>
          <w:sz w:val="32"/>
          <w:szCs w:val="32"/>
        </w:rPr>
        <w:t>主动适应和引领新常态，突出科学发展主题，</w:t>
      </w:r>
      <w:r>
        <w:rPr>
          <w:rFonts w:hint="eastAsia" w:ascii="仿宋_GB2312" w:hAnsi="仿宋" w:eastAsia="仿宋_GB2312" w:cs="仿宋"/>
          <w:color w:val="auto"/>
          <w:sz w:val="32"/>
          <w:szCs w:val="32"/>
          <w:lang w:eastAsia="zh-CN"/>
        </w:rPr>
        <w:t>以改善民生为奋斗目标，</w:t>
      </w:r>
      <w:r>
        <w:rPr>
          <w:rFonts w:hint="eastAsia" w:ascii="仿宋_GB2312" w:hAnsi="仿宋" w:eastAsia="仿宋_GB2312" w:cs="仿宋"/>
          <w:color w:val="auto"/>
          <w:sz w:val="32"/>
          <w:szCs w:val="32"/>
        </w:rPr>
        <w:t>突出创新驱动，更加注重发展现代服务业，</w:t>
      </w:r>
      <w:r>
        <w:rPr>
          <w:rFonts w:hint="eastAsia" w:ascii="仿宋_GB2312" w:hAnsi="仿宋" w:eastAsia="仿宋_GB2312" w:cs="仿宋"/>
          <w:color w:val="auto"/>
          <w:sz w:val="32"/>
          <w:szCs w:val="32"/>
          <w:lang w:eastAsia="zh-CN"/>
        </w:rPr>
        <w:t>推进政府和社会资本合作（</w:t>
      </w:r>
      <w:r>
        <w:rPr>
          <w:rFonts w:hint="eastAsia" w:ascii="仿宋_GB2312" w:hAnsi="仿宋" w:eastAsia="仿宋_GB2312" w:cs="仿宋"/>
          <w:color w:val="auto"/>
          <w:sz w:val="32"/>
          <w:szCs w:val="32"/>
          <w:lang w:val="en-US" w:eastAsia="zh-CN"/>
        </w:rPr>
        <w:t>PPP</w:t>
      </w:r>
      <w:r>
        <w:rPr>
          <w:rFonts w:hint="eastAsia" w:ascii="仿宋_GB2312" w:hAnsi="仿宋" w:eastAsia="仿宋_GB2312" w:cs="仿宋"/>
          <w:color w:val="auto"/>
          <w:sz w:val="32"/>
          <w:szCs w:val="32"/>
          <w:lang w:eastAsia="zh-CN"/>
        </w:rPr>
        <w:t>）模式，加大融资力度，更加注重改善民生工程，不断提高居民生活居住环境和公共服务水平，全力推动新型城镇化步伐。</w:t>
      </w:r>
    </w:p>
    <w:p>
      <w:pPr>
        <w:widowControl w:val="0"/>
        <w:numPr>
          <w:ilvl w:val="0"/>
          <w:numId w:val="3"/>
        </w:numPr>
        <w:ind w:left="0" w:leftChars="262"/>
        <w:jc w:val="left"/>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总体目标</w:t>
      </w:r>
    </w:p>
    <w:p>
      <w:pPr>
        <w:widowControl w:val="0"/>
        <w:numPr>
          <w:ilvl w:val="0"/>
          <w:numId w:val="0"/>
        </w:numPr>
        <w:ind w:firstLine="640"/>
        <w:jc w:val="left"/>
        <w:rPr>
          <w:rFonts w:hint="eastAsia" w:ascii="仿宋_GB2312" w:hAnsi="仿宋" w:eastAsia="仿宋_GB2312" w:cs="仿宋"/>
          <w:color w:val="auto"/>
          <w:sz w:val="32"/>
          <w:szCs w:val="32"/>
          <w:lang w:eastAsia="zh-CN"/>
        </w:rPr>
      </w:pPr>
      <w:r>
        <w:rPr>
          <w:rFonts w:hint="eastAsia" w:ascii="仿宋_GB2312" w:hAnsi="仿宋" w:eastAsia="仿宋_GB2312" w:cs="仿宋"/>
          <w:color w:val="auto"/>
          <w:kern w:val="2"/>
          <w:sz w:val="32"/>
          <w:szCs w:val="32"/>
        </w:rPr>
        <w:t>市委十一届六次全委（扩大）会议明确我市“5421”战略定位，深入贯彻落实科学发展观，到十三五末期，</w:t>
      </w:r>
      <w:r>
        <w:rPr>
          <w:rFonts w:hint="eastAsia" w:ascii="仿宋_GB2312" w:hAnsi="仿宋" w:eastAsia="仿宋_GB2312" w:cs="仿宋"/>
          <w:color w:val="auto"/>
          <w:kern w:val="2"/>
          <w:sz w:val="32"/>
          <w:szCs w:val="32"/>
          <w:lang w:eastAsia="zh-CN"/>
        </w:rPr>
        <w:t>居民生活环境</w:t>
      </w:r>
      <w:r>
        <w:rPr>
          <w:rFonts w:hint="eastAsia" w:ascii="仿宋_GB2312" w:hAnsi="仿宋" w:eastAsia="仿宋_GB2312" w:cs="仿宋"/>
          <w:color w:val="auto"/>
          <w:sz w:val="32"/>
          <w:szCs w:val="32"/>
          <w:lang w:eastAsia="zh-CN"/>
        </w:rPr>
        <w:t>和公共服务水平得到全面提高，实现人民群众从住有所居升华到住有宜居。</w:t>
      </w:r>
    </w:p>
    <w:p>
      <w:pPr>
        <w:widowControl w:val="0"/>
        <w:numPr>
          <w:ilvl w:val="0"/>
          <w:numId w:val="3"/>
        </w:numPr>
        <w:ind w:left="0" w:leftChars="262"/>
        <w:jc w:val="left"/>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基本原则</w:t>
      </w:r>
    </w:p>
    <w:p>
      <w:pPr>
        <w:widowControl w:val="0"/>
        <w:numPr>
          <w:ilvl w:val="0"/>
          <w:numId w:val="0"/>
        </w:numPr>
        <w:ind w:firstLine="640"/>
        <w:jc w:val="left"/>
        <w:rPr>
          <w:rFonts w:hint="eastAsia" w:ascii="仿宋_GB2312" w:hAnsi="仿宋" w:eastAsia="仿宋_GB2312" w:cs="仿宋"/>
          <w:b w:val="0"/>
          <w:bCs w:val="0"/>
          <w:color w:val="auto"/>
          <w:sz w:val="32"/>
          <w:szCs w:val="32"/>
          <w:lang w:val="en-US" w:eastAsia="zh-CN"/>
        </w:rPr>
      </w:pPr>
      <w:r>
        <w:rPr>
          <w:rFonts w:hint="eastAsia" w:ascii="仿宋_GB2312" w:hAnsi="仿宋" w:eastAsia="仿宋_GB2312" w:cs="仿宋"/>
          <w:b/>
          <w:bCs/>
          <w:color w:val="auto"/>
          <w:sz w:val="32"/>
          <w:szCs w:val="32"/>
          <w:lang w:val="en-US" w:eastAsia="zh-CN"/>
        </w:rPr>
        <w:t>1、坚持科学发展。</w:t>
      </w:r>
      <w:r>
        <w:rPr>
          <w:rFonts w:hint="eastAsia" w:ascii="仿宋_GB2312" w:hAnsi="仿宋" w:eastAsia="仿宋_GB2312" w:cs="仿宋"/>
          <w:b w:val="0"/>
          <w:bCs w:val="0"/>
          <w:color w:val="auto"/>
          <w:sz w:val="32"/>
          <w:szCs w:val="32"/>
          <w:lang w:val="en-US" w:eastAsia="zh-CN"/>
        </w:rPr>
        <w:t>始终把发展作为第一要务，准确把握新常态下的经济发展新特征，以转变经济发展方式，加快经济结构优化升级，不断壮大经济实力，实现可持续发展。</w:t>
      </w:r>
    </w:p>
    <w:p>
      <w:pPr>
        <w:widowControl w:val="0"/>
        <w:numPr>
          <w:ilvl w:val="0"/>
          <w:numId w:val="0"/>
        </w:numPr>
        <w:ind w:firstLine="640"/>
        <w:jc w:val="left"/>
        <w:rPr>
          <w:rFonts w:hint="eastAsia" w:ascii="仿宋_GB2312" w:hAnsi="仿宋" w:eastAsia="仿宋_GB2312" w:cs="仿宋"/>
          <w:b/>
          <w:bCs/>
          <w:color w:val="auto"/>
          <w:sz w:val="32"/>
          <w:szCs w:val="32"/>
          <w:lang w:val="en-US" w:eastAsia="zh-CN"/>
        </w:rPr>
      </w:pPr>
      <w:r>
        <w:rPr>
          <w:rFonts w:hint="eastAsia" w:ascii="仿宋_GB2312" w:hAnsi="仿宋" w:eastAsia="仿宋_GB2312" w:cs="仿宋"/>
          <w:b/>
          <w:bCs/>
          <w:color w:val="auto"/>
          <w:sz w:val="32"/>
          <w:szCs w:val="32"/>
          <w:lang w:val="en-US" w:eastAsia="zh-CN"/>
        </w:rPr>
        <w:t>2、坚持改善民生。</w:t>
      </w:r>
      <w:r>
        <w:rPr>
          <w:rFonts w:hint="eastAsia" w:ascii="仿宋_GB2312" w:hAnsi="仿宋" w:eastAsia="仿宋_GB2312" w:cs="仿宋"/>
          <w:b w:val="0"/>
          <w:bCs w:val="0"/>
          <w:color w:val="auto"/>
          <w:sz w:val="32"/>
          <w:szCs w:val="32"/>
          <w:lang w:val="en-US" w:eastAsia="zh-CN"/>
        </w:rPr>
        <w:t>始终把人民对美好生活的向往作为奋斗目标，坚持发展为了人民，发展依靠人民，发展成果由人民共享，不断提高人民生活水平。</w:t>
      </w:r>
    </w:p>
    <w:p>
      <w:pPr>
        <w:widowControl w:val="0"/>
        <w:numPr>
          <w:ilvl w:val="0"/>
          <w:numId w:val="0"/>
        </w:numPr>
        <w:ind w:leftChars="262"/>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三、重点工作任务</w:t>
      </w:r>
    </w:p>
    <w:p>
      <w:pPr>
        <w:widowControl w:val="0"/>
        <w:numPr>
          <w:ilvl w:val="0"/>
          <w:numId w:val="0"/>
        </w:numPr>
        <w:ind w:left="10" w:leftChars="0" w:firstLine="537" w:firstLineChars="168"/>
        <w:jc w:val="left"/>
        <w:rPr>
          <w:rFonts w:hint="eastAsia" w:ascii="仿宋_GB2312" w:hAnsi="宋体" w:eastAsia="仿宋_GB2312" w:cs="仿宋_GB2312"/>
          <w:b w:val="0"/>
          <w:i w:val="0"/>
          <w:caps w:val="0"/>
          <w:color w:val="000000"/>
          <w:spacing w:val="0"/>
          <w:sz w:val="32"/>
          <w:szCs w:val="32"/>
          <w:shd w:val="clear" w:fill="FFFFFF"/>
        </w:rPr>
      </w:pPr>
      <w:r>
        <w:rPr>
          <w:rFonts w:ascii="仿宋_GB2312" w:hAnsi="宋体" w:eastAsia="仿宋_GB2312" w:cs="仿宋_GB2312"/>
          <w:b w:val="0"/>
          <w:i w:val="0"/>
          <w:caps w:val="0"/>
          <w:color w:val="000000"/>
          <w:spacing w:val="0"/>
          <w:sz w:val="32"/>
          <w:szCs w:val="32"/>
          <w:shd w:val="clear" w:fill="FFFFFF"/>
        </w:rPr>
        <w:t>以全面建成</w:t>
      </w:r>
      <w:r>
        <w:rPr>
          <w:rFonts w:hint="eastAsia" w:ascii="仿宋_GB2312" w:hAnsi="宋体" w:eastAsia="仿宋_GB2312" w:cs="仿宋_GB2312"/>
          <w:b w:val="0"/>
          <w:i w:val="0"/>
          <w:caps w:val="0"/>
          <w:color w:val="000000"/>
          <w:spacing w:val="0"/>
          <w:sz w:val="32"/>
          <w:szCs w:val="32"/>
          <w:shd w:val="clear" w:fill="FFFFFF"/>
        </w:rPr>
        <w:t>小康社会、实现全体人民“住有所居”为宗旨，适应国民经济和社会发展的客观需要，加快解决城镇化发展带来的住房新问题，建立健全基本住房保障制度，加快保障性住房建设，全力推进棚户区（城中村）改造，推进老旧小区综合治理改造，切实解决中低收入家庭住房困难，提高居民生活居住环境和公共服务水平。</w:t>
      </w:r>
    </w:p>
    <w:p>
      <w:pPr>
        <w:widowControl w:val="0"/>
        <w:numPr>
          <w:ilvl w:val="0"/>
          <w:numId w:val="4"/>
        </w:numPr>
        <w:ind w:left="10" w:leftChars="0" w:firstLine="537" w:firstLineChars="168"/>
        <w:jc w:val="left"/>
        <w:rPr>
          <w:rFonts w:hint="eastAsia" w:ascii="楷体_GB2312" w:hAnsi="楷体_GB2312" w:eastAsia="楷体_GB2312" w:cs="楷体_GB2312"/>
          <w:b w:val="0"/>
          <w:i w:val="0"/>
          <w:caps w:val="0"/>
          <w:color w:val="000000"/>
          <w:spacing w:val="0"/>
          <w:sz w:val="32"/>
          <w:szCs w:val="32"/>
          <w:shd w:val="clear" w:fill="FFFFFF"/>
          <w:lang w:val="en-US" w:eastAsia="zh-CN"/>
        </w:rPr>
      </w:pPr>
      <w:r>
        <w:rPr>
          <w:rFonts w:hint="eastAsia" w:ascii="楷体_GB2312" w:hAnsi="楷体_GB2312" w:eastAsia="楷体_GB2312" w:cs="楷体_GB2312"/>
          <w:b w:val="0"/>
          <w:i w:val="0"/>
          <w:caps w:val="0"/>
          <w:color w:val="000000"/>
          <w:spacing w:val="0"/>
          <w:sz w:val="32"/>
          <w:szCs w:val="32"/>
          <w:shd w:val="clear" w:fill="FFFFFF"/>
          <w:lang w:val="en-US" w:eastAsia="zh-CN"/>
        </w:rPr>
        <w:t>棚户区（城中村）改造工程</w:t>
      </w:r>
    </w:p>
    <w:p>
      <w:pPr>
        <w:widowControl w:val="0"/>
        <w:numPr>
          <w:ilvl w:val="0"/>
          <w:numId w:val="0"/>
        </w:numPr>
        <w:ind w:left="10" w:leftChars="5" w:firstLine="339" w:firstLineChars="106"/>
        <w:jc w:val="left"/>
        <w:rPr>
          <w:rFonts w:hint="eastAsia" w:ascii="楷体_GB2312" w:hAnsi="楷体_GB2312" w:eastAsia="楷体_GB2312" w:cs="楷体_GB2312"/>
          <w:b w:val="0"/>
          <w:i w:val="0"/>
          <w:caps w:val="0"/>
          <w:color w:val="000000"/>
          <w:spacing w:val="0"/>
          <w:sz w:val="32"/>
          <w:szCs w:val="32"/>
          <w:shd w:val="clear" w:fill="FFFFFF"/>
          <w:lang w:val="en-US" w:eastAsia="zh-CN"/>
        </w:rPr>
      </w:pPr>
      <w:r>
        <w:rPr>
          <w:rFonts w:hint="eastAsia" w:ascii="楷体_GB2312" w:hAnsi="楷体_GB2312" w:eastAsia="楷体_GB2312" w:cs="楷体_GB2312"/>
          <w:b w:val="0"/>
          <w:i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fill="FFFFFF"/>
          <w:lang w:val="en-US" w:eastAsia="zh-CN"/>
        </w:rPr>
        <w:t>计划对20607户棚户区（城中村）居民进行改造，从而使他们的居住环境得到改善。</w:t>
      </w:r>
    </w:p>
    <w:p>
      <w:pPr>
        <w:widowControl w:val="0"/>
        <w:numPr>
          <w:ilvl w:val="0"/>
          <w:numId w:val="4"/>
        </w:numPr>
        <w:ind w:left="10" w:leftChars="0" w:firstLine="537" w:firstLineChars="168"/>
        <w:jc w:val="left"/>
        <w:rPr>
          <w:rFonts w:hint="eastAsia" w:ascii="楷体_GB2312" w:hAnsi="楷体_GB2312" w:eastAsia="楷体_GB2312" w:cs="楷体_GB2312"/>
          <w:b w:val="0"/>
          <w:i w:val="0"/>
          <w:caps w:val="0"/>
          <w:color w:val="000000"/>
          <w:spacing w:val="0"/>
          <w:sz w:val="32"/>
          <w:szCs w:val="32"/>
          <w:shd w:val="clear" w:fill="FFFFFF"/>
          <w:lang w:val="en-US" w:eastAsia="zh-CN"/>
        </w:rPr>
      </w:pPr>
      <w:r>
        <w:rPr>
          <w:rFonts w:hint="eastAsia" w:ascii="楷体_GB2312" w:hAnsi="楷体_GB2312" w:eastAsia="楷体_GB2312" w:cs="楷体_GB2312"/>
          <w:b w:val="0"/>
          <w:i w:val="0"/>
          <w:caps w:val="0"/>
          <w:color w:val="000000"/>
          <w:spacing w:val="0"/>
          <w:sz w:val="32"/>
          <w:szCs w:val="32"/>
          <w:shd w:val="clear" w:fill="FFFFFF"/>
          <w:lang w:val="en-US" w:eastAsia="zh-CN"/>
        </w:rPr>
        <w:t>旧小区综合治理改造</w:t>
      </w:r>
    </w:p>
    <w:p>
      <w:pPr>
        <w:widowControl w:val="0"/>
        <w:numPr>
          <w:ilvl w:val="0"/>
          <w:numId w:val="0"/>
        </w:numPr>
        <w:ind w:left="10" w:leftChars="5" w:firstLine="339" w:firstLineChars="106"/>
        <w:jc w:val="left"/>
        <w:rPr>
          <w:rFonts w:hint="eastAsia" w:ascii="仿宋_GB2312" w:hAnsi="仿宋_GB2312" w:eastAsia="仿宋_GB2312" w:cs="仿宋_GB2312"/>
          <w:b w:val="0"/>
          <w:i w:val="0"/>
          <w:caps w:val="0"/>
          <w:color w:val="000000"/>
          <w:spacing w:val="0"/>
          <w:sz w:val="32"/>
          <w:szCs w:val="32"/>
          <w:shd w:val="clear" w:fill="FFFFFF"/>
          <w:lang w:val="en-US" w:eastAsia="zh-CN"/>
        </w:rPr>
      </w:pPr>
      <w:r>
        <w:rPr>
          <w:rFonts w:hint="eastAsia" w:ascii="楷体_GB2312" w:hAnsi="楷体_GB2312" w:eastAsia="楷体_GB2312" w:cs="楷体_GB2312"/>
          <w:b w:val="0"/>
          <w:i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i w:val="0"/>
          <w:caps w:val="0"/>
          <w:color w:val="000000"/>
          <w:spacing w:val="0"/>
          <w:sz w:val="32"/>
          <w:szCs w:val="32"/>
        </w:rPr>
        <w:t>对</w:t>
      </w:r>
      <w:r>
        <w:rPr>
          <w:rFonts w:hint="eastAsia" w:ascii="仿宋_GB2312" w:hAnsi="仿宋_GB2312" w:eastAsia="仿宋_GB2312" w:cs="仿宋_GB2312"/>
          <w:b w:val="0"/>
          <w:i w:val="0"/>
          <w:caps w:val="0"/>
          <w:color w:val="000000"/>
          <w:spacing w:val="0"/>
          <w:sz w:val="32"/>
          <w:szCs w:val="32"/>
          <w:lang w:val="en-US" w:eastAsia="zh-CN"/>
        </w:rPr>
        <w:t>300万平方米</w:t>
      </w:r>
      <w:r>
        <w:rPr>
          <w:rFonts w:hint="eastAsia" w:ascii="仿宋_GB2312" w:hAnsi="仿宋_GB2312" w:eastAsia="仿宋_GB2312" w:cs="仿宋_GB2312"/>
          <w:b w:val="0"/>
          <w:i w:val="0"/>
          <w:caps w:val="0"/>
          <w:color w:val="000000"/>
          <w:spacing w:val="0"/>
          <w:sz w:val="32"/>
          <w:szCs w:val="32"/>
        </w:rPr>
        <w:t>老旧小区进行既有居住建筑热计量及节能改造；对约</w:t>
      </w:r>
      <w:r>
        <w:rPr>
          <w:rFonts w:hint="eastAsia" w:ascii="仿宋_GB2312" w:hAnsi="仿宋_GB2312" w:eastAsia="仿宋_GB2312" w:cs="仿宋_GB2312"/>
          <w:b w:val="0"/>
          <w:i w:val="0"/>
          <w:caps w:val="0"/>
          <w:color w:val="000000"/>
          <w:spacing w:val="0"/>
          <w:sz w:val="32"/>
          <w:szCs w:val="32"/>
          <w:lang w:val="en-US" w:eastAsia="zh-CN"/>
        </w:rPr>
        <w:t>40</w:t>
      </w:r>
      <w:r>
        <w:rPr>
          <w:rFonts w:hint="eastAsia" w:ascii="仿宋_GB2312" w:hAnsi="仿宋_GB2312" w:eastAsia="仿宋_GB2312" w:cs="仿宋_GB2312"/>
          <w:b w:val="0"/>
          <w:i w:val="0"/>
          <w:caps w:val="0"/>
          <w:color w:val="000000"/>
          <w:spacing w:val="0"/>
          <w:sz w:val="32"/>
          <w:szCs w:val="32"/>
        </w:rPr>
        <w:t>万平方米的老旧小区进行小区内路面硬化；对30公里老旧小区排水管网进行更新改造；对30公里老旧小区给水管网进行更新改造；对</w:t>
      </w:r>
      <w:r>
        <w:rPr>
          <w:rFonts w:hint="eastAsia" w:ascii="仿宋_GB2312" w:hAnsi="仿宋_GB2312" w:eastAsia="仿宋_GB2312" w:cs="仿宋_GB2312"/>
          <w:b w:val="0"/>
          <w:i w:val="0"/>
          <w:caps w:val="0"/>
          <w:color w:val="000000"/>
          <w:spacing w:val="0"/>
          <w:sz w:val="32"/>
          <w:szCs w:val="32"/>
          <w:lang w:val="en-US" w:eastAsia="zh-CN"/>
        </w:rPr>
        <w:t>100</w:t>
      </w:r>
      <w:r>
        <w:rPr>
          <w:rFonts w:hint="eastAsia" w:ascii="仿宋_GB2312" w:hAnsi="仿宋_GB2312" w:eastAsia="仿宋_GB2312" w:cs="仿宋_GB2312"/>
          <w:b w:val="0"/>
          <w:i w:val="0"/>
          <w:caps w:val="0"/>
          <w:color w:val="000000"/>
          <w:spacing w:val="0"/>
          <w:sz w:val="32"/>
          <w:szCs w:val="32"/>
        </w:rPr>
        <w:t>万平方米老旧小区进行供热二次管网改造，全面完成昆区辖区内老旧小区的综合性治理改造，为辖区居民创造一个配套完善、公共设施齐全的居住环境。</w:t>
      </w:r>
    </w:p>
    <w:p>
      <w:pPr>
        <w:widowControl w:val="0"/>
        <w:numPr>
          <w:ilvl w:val="0"/>
          <w:numId w:val="4"/>
        </w:numPr>
        <w:ind w:left="10" w:leftChars="0" w:firstLine="537" w:firstLineChars="168"/>
        <w:jc w:val="left"/>
        <w:rPr>
          <w:rFonts w:hint="eastAsia" w:ascii="楷体_GB2312" w:hAnsi="楷体_GB2312" w:eastAsia="楷体_GB2312" w:cs="楷体_GB2312"/>
          <w:b w:val="0"/>
          <w:i w:val="0"/>
          <w:caps w:val="0"/>
          <w:color w:val="000000"/>
          <w:spacing w:val="0"/>
          <w:sz w:val="32"/>
          <w:szCs w:val="32"/>
          <w:shd w:val="clear" w:fill="FFFFFF"/>
          <w:lang w:val="en-US" w:eastAsia="zh-CN"/>
        </w:rPr>
      </w:pPr>
      <w:r>
        <w:rPr>
          <w:rFonts w:hint="eastAsia" w:ascii="楷体_GB2312" w:hAnsi="楷体_GB2312" w:eastAsia="楷体_GB2312" w:cs="楷体_GB2312"/>
          <w:b w:val="0"/>
          <w:i w:val="0"/>
          <w:caps w:val="0"/>
          <w:color w:val="000000"/>
          <w:spacing w:val="0"/>
          <w:sz w:val="32"/>
          <w:szCs w:val="32"/>
          <w:shd w:val="clear" w:fill="FFFFFF"/>
          <w:lang w:val="en-US" w:eastAsia="zh-CN"/>
        </w:rPr>
        <w:t>公共租赁住房分配和廉租补贴发放</w:t>
      </w:r>
    </w:p>
    <w:p>
      <w:pPr>
        <w:widowControl w:val="0"/>
        <w:numPr>
          <w:ilvl w:val="0"/>
          <w:numId w:val="0"/>
        </w:numPr>
        <w:ind w:left="10" w:leftChars="5" w:firstLine="339" w:firstLineChars="106"/>
        <w:jc w:val="left"/>
        <w:rPr>
          <w:rFonts w:hint="eastAsia" w:ascii="仿宋_GB2312" w:hAnsi="宋体" w:eastAsia="仿宋_GB2312" w:cs="仿宋_GB2312"/>
          <w:b w:val="0"/>
          <w:i w:val="0"/>
          <w:caps w:val="0"/>
          <w:color w:val="000000"/>
          <w:spacing w:val="0"/>
          <w:sz w:val="32"/>
          <w:szCs w:val="32"/>
          <w:lang w:eastAsia="zh-CN"/>
        </w:rPr>
      </w:pPr>
      <w:r>
        <w:rPr>
          <w:rFonts w:hint="eastAsia" w:ascii="楷体_GB2312" w:hAnsi="楷体_GB2312" w:eastAsia="楷体_GB2312" w:cs="楷体_GB2312"/>
          <w:b w:val="0"/>
          <w:i w:val="0"/>
          <w:caps w:val="0"/>
          <w:color w:val="000000"/>
          <w:spacing w:val="0"/>
          <w:sz w:val="32"/>
          <w:szCs w:val="32"/>
          <w:shd w:val="clear" w:fill="FFFFFF"/>
          <w:lang w:val="en-US" w:eastAsia="zh-CN"/>
        </w:rPr>
        <w:t xml:space="preserve">  计划分配400-500套公共租赁住房用于解决中低收入家庭住房困难；计划</w:t>
      </w:r>
      <w:r>
        <w:rPr>
          <w:rFonts w:ascii="仿宋_GB2312" w:hAnsi="宋体" w:eastAsia="仿宋_GB2312" w:cs="仿宋_GB2312"/>
          <w:b w:val="0"/>
          <w:i w:val="0"/>
          <w:caps w:val="0"/>
          <w:color w:val="000000"/>
          <w:spacing w:val="0"/>
          <w:sz w:val="32"/>
          <w:szCs w:val="32"/>
          <w:shd w:val="clear" w:fill="FFFFFF"/>
        </w:rPr>
        <w:t>累计</w:t>
      </w:r>
      <w:r>
        <w:rPr>
          <w:rFonts w:hint="eastAsia" w:ascii="仿宋_GB2312" w:hAnsi="宋体" w:eastAsia="仿宋_GB2312" w:cs="仿宋_GB2312"/>
          <w:b w:val="0"/>
          <w:i w:val="0"/>
          <w:caps w:val="0"/>
          <w:color w:val="000000"/>
          <w:spacing w:val="0"/>
          <w:sz w:val="32"/>
          <w:szCs w:val="32"/>
          <w:shd w:val="clear" w:fill="FFFFFF"/>
        </w:rPr>
        <w:t>发放廉租租赁补贴</w:t>
      </w:r>
      <w:r>
        <w:rPr>
          <w:rFonts w:hint="eastAsia" w:ascii="仿宋_GB2312" w:hAnsi="宋体" w:eastAsia="仿宋_GB2312" w:cs="仿宋_GB2312"/>
          <w:b w:val="0"/>
          <w:i w:val="0"/>
          <w:caps w:val="0"/>
          <w:color w:val="000000"/>
          <w:spacing w:val="0"/>
          <w:sz w:val="32"/>
          <w:szCs w:val="32"/>
          <w:shd w:val="clear" w:fill="FFFFFF"/>
          <w:lang w:val="en-US" w:eastAsia="zh-CN"/>
        </w:rPr>
        <w:t>3000</w:t>
      </w:r>
      <w:r>
        <w:rPr>
          <w:rFonts w:hint="eastAsia" w:ascii="仿宋_GB2312" w:hAnsi="宋体" w:eastAsia="仿宋_GB2312" w:cs="仿宋_GB2312"/>
          <w:b w:val="0"/>
          <w:i w:val="0"/>
          <w:caps w:val="0"/>
          <w:color w:val="000000"/>
          <w:spacing w:val="0"/>
          <w:sz w:val="32"/>
          <w:szCs w:val="32"/>
        </w:rPr>
        <w:t>户共计约</w:t>
      </w:r>
      <w:r>
        <w:rPr>
          <w:rFonts w:hint="eastAsia" w:ascii="仿宋_GB2312" w:hAnsi="宋体" w:eastAsia="仿宋_GB2312" w:cs="仿宋_GB2312"/>
          <w:b w:val="0"/>
          <w:i w:val="0"/>
          <w:caps w:val="0"/>
          <w:color w:val="000000"/>
          <w:spacing w:val="0"/>
          <w:sz w:val="32"/>
          <w:szCs w:val="32"/>
          <w:lang w:val="en-US" w:eastAsia="zh-CN"/>
        </w:rPr>
        <w:t>900</w:t>
      </w:r>
      <w:r>
        <w:rPr>
          <w:rFonts w:hint="eastAsia" w:ascii="仿宋_GB2312" w:hAnsi="宋体" w:eastAsia="仿宋_GB2312" w:cs="仿宋_GB2312"/>
          <w:b w:val="0"/>
          <w:i w:val="0"/>
          <w:caps w:val="0"/>
          <w:color w:val="000000"/>
          <w:spacing w:val="0"/>
          <w:sz w:val="32"/>
          <w:szCs w:val="32"/>
        </w:rPr>
        <w:t>余万元</w:t>
      </w:r>
      <w:r>
        <w:rPr>
          <w:rFonts w:hint="eastAsia" w:ascii="仿宋_GB2312" w:hAnsi="宋体" w:eastAsia="仿宋_GB2312" w:cs="仿宋_GB2312"/>
          <w:b w:val="0"/>
          <w:i w:val="0"/>
          <w:caps w:val="0"/>
          <w:color w:val="000000"/>
          <w:spacing w:val="0"/>
          <w:sz w:val="32"/>
          <w:szCs w:val="32"/>
          <w:lang w:eastAsia="zh-CN"/>
        </w:rPr>
        <w:t>，从而缓解廉租户家庭住房困难。</w:t>
      </w:r>
    </w:p>
    <w:p>
      <w:pPr>
        <w:widowControl w:val="0"/>
        <w:numPr>
          <w:ilvl w:val="0"/>
          <w:numId w:val="0"/>
        </w:numPr>
        <w:ind w:left="10" w:leftChars="5" w:firstLine="339" w:firstLineChars="106"/>
        <w:jc w:val="left"/>
        <w:rPr>
          <w:rFonts w:hint="eastAsia" w:ascii="黑体" w:hAnsi="黑体" w:eastAsia="黑体" w:cs="黑体"/>
          <w:b w:val="0"/>
          <w:i w:val="0"/>
          <w:caps w:val="0"/>
          <w:color w:val="000000"/>
          <w:spacing w:val="0"/>
          <w:sz w:val="32"/>
          <w:szCs w:val="32"/>
          <w:lang w:eastAsia="zh-CN"/>
        </w:rPr>
      </w:pPr>
      <w:r>
        <w:rPr>
          <w:rFonts w:hint="eastAsia" w:ascii="仿宋_GB2312" w:hAnsi="宋体"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lang w:eastAsia="zh-CN"/>
        </w:rPr>
        <w:t>四、保障措施</w:t>
      </w:r>
    </w:p>
    <w:p>
      <w:pPr>
        <w:keepNext w:val="0"/>
        <w:keepLines w:val="0"/>
        <w:widowControl/>
        <w:suppressLineNumbers w:val="0"/>
        <w:shd w:val="clear" w:fill="FFFFFF"/>
        <w:spacing w:before="0" w:beforeAutospacing="1" w:after="0" w:afterAutospacing="1" w:line="560" w:lineRule="atLeast"/>
        <w:ind w:left="0" w:right="0" w:firstLine="643"/>
        <w:jc w:val="left"/>
        <w:rPr>
          <w:rFonts w:hint="eastAsia" w:ascii="楷体_GB2312" w:hAnsi="楷体_GB2312" w:eastAsia="楷体_GB2312" w:cs="楷体_GB2312"/>
          <w:b w:val="0"/>
          <w:i w:val="0"/>
          <w:caps w:val="0"/>
          <w:color w:val="000000"/>
          <w:spacing w:val="0"/>
          <w:sz w:val="32"/>
          <w:szCs w:val="32"/>
        </w:rPr>
      </w:pPr>
      <w:r>
        <w:rPr>
          <w:rFonts w:hint="eastAsia" w:ascii="楷体_GB2312" w:hAnsi="楷体_GB2312" w:eastAsia="楷体_GB2312" w:cs="楷体_GB2312"/>
          <w:b w:val="0"/>
          <w:i w:val="0"/>
          <w:caps w:val="0"/>
          <w:color w:val="000000"/>
          <w:spacing w:val="0"/>
          <w:kern w:val="0"/>
          <w:sz w:val="32"/>
          <w:szCs w:val="32"/>
          <w:shd w:val="clear" w:fill="FFFFFF"/>
          <w:lang w:val="en-US" w:eastAsia="zh-CN" w:bidi="ar"/>
        </w:rPr>
        <w:t>（一）积极争取政策资金，深入推进保障性住房建设有序发展</w:t>
      </w:r>
    </w:p>
    <w:p>
      <w:pPr>
        <w:keepNext w:val="0"/>
        <w:keepLines w:val="0"/>
        <w:widowControl/>
        <w:suppressLineNumbers w:val="0"/>
        <w:shd w:val="clear" w:fill="FFFFFF"/>
        <w:spacing w:before="0" w:beforeAutospacing="1" w:after="0" w:afterAutospacing="1" w:line="560" w:lineRule="atLeast"/>
        <w:ind w:left="0" w:right="0" w:firstLine="643"/>
        <w:jc w:val="left"/>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i w:val="0"/>
          <w:caps w:val="0"/>
          <w:color w:val="000000"/>
          <w:spacing w:val="0"/>
          <w:kern w:val="0"/>
          <w:sz w:val="32"/>
          <w:szCs w:val="32"/>
          <w:shd w:val="clear" w:fill="FFFFFF"/>
          <w:lang w:val="en-US" w:eastAsia="zh-CN" w:bidi="ar"/>
        </w:rPr>
        <w:t>1.</w:t>
      </w: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按照上级加快保障性住房建设相关文件的要求，进一步落实好用地指标、建设资金和税费优惠等支持政策，为保障性住房建设创造良好条件；同时协调好电力、通讯、市政公用事业等企业对保障性住房建设相关费用减免及金融信贷支持工作，切实降低保障性住房建设成本，确保各保障性住房建设快速健康发展。</w:t>
      </w:r>
    </w:p>
    <w:p>
      <w:pPr>
        <w:keepNext w:val="0"/>
        <w:keepLines w:val="0"/>
        <w:widowControl/>
        <w:suppressLineNumbers w:val="0"/>
        <w:shd w:val="clear" w:fill="FFFFFF"/>
        <w:spacing w:before="0" w:beforeAutospacing="1" w:after="0" w:afterAutospacing="1" w:line="560" w:lineRule="atLeast"/>
        <w:ind w:left="0" w:right="0" w:firstLine="643"/>
        <w:jc w:val="left"/>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i w:val="0"/>
          <w:caps w:val="0"/>
          <w:color w:val="000000"/>
          <w:spacing w:val="0"/>
          <w:kern w:val="0"/>
          <w:sz w:val="32"/>
          <w:szCs w:val="32"/>
          <w:shd w:val="clear" w:fill="FFFFFF"/>
          <w:lang w:val="en-US" w:eastAsia="zh-CN" w:bidi="ar"/>
        </w:rPr>
        <w:t>2.</w:t>
      </w: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 做好保障性住房建设资金筹集工作。通过区房管局保障性住房平台公司组织项目企业尽快完善项目资料和手续，及时上报自治区住建厅，列入国家计划的保障住房建设项目，争取补助资金。会同财政局、发改局等相关部门，抓紧协调国开行、农发行等金融企业尽早落实棚户区改造项目政策性贷款，为全面推进棚户区改造提供资金保障。</w:t>
      </w:r>
    </w:p>
    <w:p>
      <w:pPr>
        <w:keepNext w:val="0"/>
        <w:keepLines w:val="0"/>
        <w:widowControl/>
        <w:suppressLineNumbers w:val="0"/>
        <w:shd w:val="clear" w:fill="FFFFFF"/>
        <w:spacing w:before="0" w:beforeAutospacing="1" w:after="0" w:afterAutospacing="1" w:line="560" w:lineRule="atLeast"/>
        <w:ind w:left="0" w:right="0" w:firstLine="643"/>
        <w:jc w:val="left"/>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i w:val="0"/>
          <w:caps w:val="0"/>
          <w:color w:val="000000"/>
          <w:spacing w:val="0"/>
          <w:kern w:val="0"/>
          <w:sz w:val="32"/>
          <w:szCs w:val="32"/>
          <w:shd w:val="clear" w:fill="FFFFFF"/>
          <w:lang w:val="en-US" w:eastAsia="zh-CN" w:bidi="ar"/>
        </w:rPr>
        <w:t>3.</w:t>
      </w: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 通过逐步完善住房保障制度政策体系，不断推进公、廉租住房并轨，分类、分层次、多形式解决城市中低收入家庭、新就业人员和外来务工人员的住房困难，根据不同保障对象，确定不同保障标准，实行不同保障方式。</w:t>
      </w:r>
    </w:p>
    <w:p>
      <w:pPr>
        <w:keepNext w:val="0"/>
        <w:keepLines w:val="0"/>
        <w:widowControl/>
        <w:suppressLineNumbers w:val="0"/>
        <w:shd w:val="clear" w:fill="FFFFFF"/>
        <w:spacing w:before="0" w:beforeAutospacing="1" w:after="0" w:afterAutospacing="1" w:line="560" w:lineRule="atLeast"/>
        <w:ind w:left="0" w:right="0" w:firstLine="643"/>
        <w:jc w:val="left"/>
        <w:rPr>
          <w:rFonts w:hint="eastAsia" w:ascii="楷体_GB2312" w:hAnsi="楷体_GB2312" w:eastAsia="楷体_GB2312" w:cs="楷体_GB2312"/>
          <w:b w:val="0"/>
          <w:i w:val="0"/>
          <w:caps w:val="0"/>
          <w:color w:val="000000"/>
          <w:spacing w:val="0"/>
          <w:sz w:val="32"/>
          <w:szCs w:val="32"/>
        </w:rPr>
      </w:pPr>
      <w:r>
        <w:rPr>
          <w:rFonts w:hint="eastAsia" w:ascii="楷体_GB2312" w:hAnsi="楷体_GB2312" w:eastAsia="楷体_GB2312" w:cs="楷体_GB2312"/>
          <w:b w:val="0"/>
          <w:i w:val="0"/>
          <w:caps w:val="0"/>
          <w:color w:val="000000"/>
          <w:spacing w:val="0"/>
          <w:kern w:val="0"/>
          <w:sz w:val="32"/>
          <w:szCs w:val="32"/>
          <w:shd w:val="clear" w:fill="FFFFFF"/>
          <w:lang w:val="en-US" w:eastAsia="zh-CN" w:bidi="ar"/>
        </w:rPr>
        <w:t>（二）精心谋划，进一步推进老旧小区综合治理改造</w:t>
      </w:r>
    </w:p>
    <w:p>
      <w:pPr>
        <w:keepNext w:val="0"/>
        <w:keepLines w:val="0"/>
        <w:widowControl/>
        <w:suppressLineNumbers w:val="0"/>
        <w:shd w:val="clear" w:fill="FFFFFF"/>
        <w:spacing w:before="0" w:beforeAutospacing="1" w:after="0" w:afterAutospacing="1" w:line="560" w:lineRule="atLeast"/>
        <w:ind w:left="0" w:right="0" w:firstLine="0"/>
        <w:jc w:val="left"/>
        <w:rPr>
          <w:rFonts w:hint="eastAsia" w:ascii="宋体" w:hAnsi="宋体" w:eastAsia="宋体" w:cs="宋体"/>
          <w:b w:val="0"/>
          <w:i w:val="0"/>
          <w:caps w:val="0"/>
          <w:color w:val="000000"/>
          <w:spacing w:val="0"/>
          <w:sz w:val="32"/>
          <w:szCs w:val="32"/>
        </w:rPr>
      </w:pPr>
      <w:r>
        <w:rPr>
          <w:rFonts w:hint="eastAsia" w:ascii="仿宋_GB2312" w:hAnsi="宋体" w:eastAsia="仿宋_GB2312" w:cs="仿宋_GB2312"/>
          <w:b/>
          <w:i w:val="0"/>
          <w:caps w:val="0"/>
          <w:color w:val="000000"/>
          <w:spacing w:val="0"/>
          <w:kern w:val="0"/>
          <w:sz w:val="32"/>
          <w:szCs w:val="32"/>
          <w:shd w:val="clear" w:fill="FFFFFF"/>
          <w:lang w:val="en-US" w:eastAsia="zh-CN" w:bidi="ar"/>
        </w:rPr>
        <w:t>   </w:t>
      </w:r>
      <w:r>
        <w:rPr>
          <w:rFonts w:hint="eastAsia" w:ascii="仿宋_GB2312" w:hAnsi="宋体" w:eastAsia="仿宋_GB2312" w:cs="仿宋_GB2312"/>
          <w:b w:val="0"/>
          <w:i w:val="0"/>
          <w:caps w:val="0"/>
          <w:color w:val="000000"/>
          <w:spacing w:val="0"/>
          <w:kern w:val="0"/>
          <w:sz w:val="32"/>
          <w:szCs w:val="32"/>
          <w:shd w:val="clear" w:fill="FFFFFF"/>
          <w:lang w:val="en-US" w:eastAsia="zh-CN" w:bidi="ar"/>
        </w:rPr>
        <w:t>全力落实重点城建项目建设，带动城镇承载能力提升，促进旧小区面貌改善，重点对小区外墙保温、路面硬化、排水管网、给水管网、供热二次网等基础设施进行一遍更新改造，改善老旧小区居民居住环境。</w:t>
      </w:r>
    </w:p>
    <w:p>
      <w:pPr>
        <w:widowControl w:val="0"/>
        <w:numPr>
          <w:ilvl w:val="0"/>
          <w:numId w:val="0"/>
        </w:numPr>
        <w:ind w:left="10" w:leftChars="5" w:firstLine="339" w:firstLineChars="106"/>
        <w:jc w:val="left"/>
        <w:rPr>
          <w:rFonts w:hint="eastAsia" w:ascii="黑体" w:hAnsi="黑体" w:eastAsia="黑体" w:cs="黑体"/>
          <w:b w:val="0"/>
          <w:i w:val="0"/>
          <w:caps w:val="0"/>
          <w:color w:val="000000"/>
          <w:spacing w:val="0"/>
          <w:sz w:val="32"/>
          <w:szCs w:val="32"/>
          <w:lang w:eastAsia="zh-CN"/>
        </w:rPr>
      </w:pPr>
    </w:p>
    <w:p>
      <w:pPr>
        <w:widowControl w:val="0"/>
        <w:numPr>
          <w:ilvl w:val="0"/>
          <w:numId w:val="0"/>
        </w:numPr>
        <w:ind w:left="10" w:leftChars="5" w:firstLine="339" w:firstLineChars="106"/>
        <w:jc w:val="left"/>
        <w:rPr>
          <w:rFonts w:hint="eastAsia" w:ascii="仿宋_GB2312" w:hAnsi="宋体" w:eastAsia="仿宋_GB2312" w:cs="仿宋_GB2312"/>
          <w:b w:val="0"/>
          <w:i w:val="0"/>
          <w:caps w:val="0"/>
          <w:color w:val="000000"/>
          <w:spacing w:val="0"/>
          <w:sz w:val="32"/>
          <w:szCs w:val="32"/>
          <w:lang w:val="en-US" w:eastAsia="zh-CN"/>
        </w:rPr>
      </w:pPr>
      <w:r>
        <w:rPr>
          <w:rFonts w:hint="eastAsia" w:ascii="仿宋_GB2312" w:hAnsi="宋体" w:eastAsia="仿宋_GB2312" w:cs="仿宋_GB2312"/>
          <w:b w:val="0"/>
          <w:i w:val="0"/>
          <w:caps w:val="0"/>
          <w:color w:val="000000"/>
          <w:spacing w:val="0"/>
          <w:sz w:val="32"/>
          <w:szCs w:val="32"/>
          <w:lang w:val="en-US" w:eastAsia="zh-CN"/>
        </w:rPr>
        <w:t xml:space="preserve">  </w:t>
      </w:r>
    </w:p>
    <w:p>
      <w:pPr>
        <w:widowControl w:val="0"/>
        <w:numPr>
          <w:ilvl w:val="0"/>
          <w:numId w:val="0"/>
        </w:numPr>
        <w:ind w:leftChars="262"/>
        <w:jc w:val="left"/>
        <w:rPr>
          <w:rFonts w:hint="eastAsia" w:ascii="楷体_GB2312" w:hAnsi="楷体_GB2312" w:eastAsia="楷体_GB2312" w:cs="楷体_GB2312"/>
          <w:color w:val="auto"/>
          <w:sz w:val="32"/>
          <w:szCs w:val="32"/>
          <w:lang w:val="en-US" w:eastAsia="zh-CN"/>
        </w:rPr>
      </w:pPr>
    </w:p>
    <w:p>
      <w:pPr>
        <w:widowControl w:val="0"/>
        <w:numPr>
          <w:ilvl w:val="0"/>
          <w:numId w:val="0"/>
        </w:numPr>
        <w:jc w:val="left"/>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 xml:space="preserve">    </w:t>
      </w:r>
    </w:p>
    <w:p>
      <w:pPr>
        <w:widowControl w:val="0"/>
        <w:numPr>
          <w:ilvl w:val="0"/>
          <w:numId w:val="0"/>
        </w:numPr>
        <w:jc w:val="left"/>
        <w:rPr>
          <w:rFonts w:hint="eastAsia" w:ascii="楷体_GB2312" w:hAnsi="楷体_GB2312" w:eastAsia="楷体_GB2312" w:cs="楷体_GB2312"/>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新宋体">
    <w:panose1 w:val="02010609030101010101"/>
    <w:charset w:val="86"/>
    <w:family w:val="auto"/>
    <w:pitch w:val="default"/>
    <w:sig w:usb0="00000003" w:usb1="080E0000" w:usb2="00000000"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F1BE6"/>
    <w:multiLevelType w:val="singleLevel"/>
    <w:tmpl w:val="58EF1BE6"/>
    <w:lvl w:ilvl="0" w:tentative="0">
      <w:start w:val="1"/>
      <w:numFmt w:val="chineseCounting"/>
      <w:suff w:val="nothing"/>
      <w:lvlText w:val="%1、"/>
      <w:lvlJc w:val="left"/>
    </w:lvl>
  </w:abstractNum>
  <w:abstractNum w:abstractNumId="1">
    <w:nsid w:val="58EF28F4"/>
    <w:multiLevelType w:val="singleLevel"/>
    <w:tmpl w:val="58EF28F4"/>
    <w:lvl w:ilvl="0" w:tentative="0">
      <w:start w:val="1"/>
      <w:numFmt w:val="chineseCounting"/>
      <w:suff w:val="nothing"/>
      <w:lvlText w:val="%1、"/>
      <w:lvlJc w:val="left"/>
    </w:lvl>
  </w:abstractNum>
  <w:abstractNum w:abstractNumId="2">
    <w:nsid w:val="58EF3C1B"/>
    <w:multiLevelType w:val="singleLevel"/>
    <w:tmpl w:val="58EF3C1B"/>
    <w:lvl w:ilvl="0" w:tentative="0">
      <w:start w:val="1"/>
      <w:numFmt w:val="chineseCounting"/>
      <w:suff w:val="nothing"/>
      <w:lvlText w:val="（%1）"/>
      <w:lvlJc w:val="left"/>
    </w:lvl>
  </w:abstractNum>
  <w:abstractNum w:abstractNumId="3">
    <w:nsid w:val="58EF4835"/>
    <w:multiLevelType w:val="singleLevel"/>
    <w:tmpl w:val="58EF4835"/>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9604B"/>
    <w:rsid w:val="038F6DE1"/>
    <w:rsid w:val="106A600C"/>
    <w:rsid w:val="121D187A"/>
    <w:rsid w:val="30EF174C"/>
    <w:rsid w:val="327F52C4"/>
    <w:rsid w:val="44120AB0"/>
    <w:rsid w:val="4B607B84"/>
    <w:rsid w:val="5AB05BD5"/>
    <w:rsid w:val="5AF20E53"/>
    <w:rsid w:val="75D42AAE"/>
    <w:rsid w:val="7E71069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link w:val="5"/>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 Char Char Char"/>
    <w:basedOn w:val="1"/>
    <w:link w:val="4"/>
    <w:qFormat/>
    <w:uiPriority w:val="0"/>
    <w:pPr>
      <w:widowControl/>
      <w:spacing w:after="160" w:afterLines="0" w:line="240" w:lineRule="exact"/>
      <w:jc w:val="left"/>
    </w:p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2017-04-13T05:57:00Z</dcterms:created>
  <dc:creator>Administrator</dc:creator>
  <cp:lastModifiedBy>Administrator</cp:lastModifiedBy>
  <dcterms:modified xsi:type="dcterms:W3CDTF">2017-04-14T02:51:02Z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